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8128654"/>
        <w:docPartObj>
          <w:docPartGallery w:val="Cover Pages"/>
          <w:docPartUnique/>
        </w:docPartObj>
      </w:sdtPr>
      <w:sdtEndPr/>
      <w:sdtContent>
        <w:p w14:paraId="20A889B6" w14:textId="4776B0E9" w:rsidR="00CD4F7F" w:rsidRDefault="00A77D50">
          <w:r>
            <w:rPr>
              <w:rFonts w:asciiTheme="majorHAnsi" w:hAnsiTheme="majorHAnsi"/>
              <w:noProof/>
              <w:color w:val="FFFFFF" w:themeColor="background1"/>
              <w:sz w:val="96"/>
              <w:szCs w:val="96"/>
            </w:rPr>
            <w:drawing>
              <wp:anchor distT="0" distB="0" distL="114300" distR="114300" simplePos="0" relativeHeight="251662336" behindDoc="1" locked="0" layoutInCell="1" allowOverlap="1" wp14:anchorId="2F6DB888" wp14:editId="4EB74A8E">
                <wp:simplePos x="0" y="0"/>
                <wp:positionH relativeFrom="page">
                  <wp:posOffset>65314</wp:posOffset>
                </wp:positionH>
                <wp:positionV relativeFrom="paragraph">
                  <wp:posOffset>-67</wp:posOffset>
                </wp:positionV>
                <wp:extent cx="7641772" cy="10809309"/>
                <wp:effectExtent l="0" t="0" r="0" b="0"/>
                <wp:wrapTight wrapText="bothSides">
                  <wp:wrapPolygon edited="0">
                    <wp:start x="0" y="0"/>
                    <wp:lineTo x="0" y="21547"/>
                    <wp:lineTo x="21539" y="21547"/>
                    <wp:lineTo x="21539" y="0"/>
                    <wp:lineTo x="0" y="0"/>
                  </wp:wrapPolygon>
                </wp:wrapTight>
                <wp:docPr id="12315673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67301" name="Picture 123156730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2028" cy="10809671"/>
                        </a:xfrm>
                        <a:prstGeom prst="rect">
                          <a:avLst/>
                        </a:prstGeom>
                      </pic:spPr>
                    </pic:pic>
                  </a:graphicData>
                </a:graphic>
                <wp14:sizeRelH relativeFrom="margin">
                  <wp14:pctWidth>0</wp14:pctWidth>
                </wp14:sizeRelH>
                <wp14:sizeRelV relativeFrom="margin">
                  <wp14:pctHeight>0</wp14:pctHeight>
                </wp14:sizeRelV>
              </wp:anchor>
            </w:drawing>
          </w:r>
          <w:r w:rsidR="000D52C5">
            <w:rPr>
              <w:rFonts w:asciiTheme="majorHAnsi" w:hAnsiTheme="majorHAnsi"/>
              <w:noProof/>
              <w:color w:val="FFFFFF" w:themeColor="background1"/>
              <w:sz w:val="96"/>
              <w:szCs w:val="96"/>
            </w:rPr>
            <w:t>hjgmh</w:t>
          </w:r>
        </w:p>
        <w:p w14:paraId="48931077" w14:textId="77777777" w:rsidR="00AA053F" w:rsidRDefault="00AA053F" w:rsidP="00AA053F"/>
      </w:sdtContent>
    </w:sdt>
    <w:p w14:paraId="3DF4BA4D" w14:textId="77777777" w:rsidR="0035700F" w:rsidRDefault="0035700F" w:rsidP="00AA053F"/>
    <w:sdt>
      <w:sdtPr>
        <w:rPr>
          <w:rFonts w:asciiTheme="minorHAnsi" w:eastAsiaTheme="minorHAnsi" w:hAnsiTheme="minorHAnsi" w:cstheme="minorBidi"/>
          <w:color w:val="auto"/>
          <w:sz w:val="22"/>
          <w:szCs w:val="22"/>
        </w:rPr>
        <w:id w:val="1648778486"/>
        <w:docPartObj>
          <w:docPartGallery w:val="Table of Contents"/>
          <w:docPartUnique/>
        </w:docPartObj>
      </w:sdtPr>
      <w:sdtEndPr>
        <w:rPr>
          <w:b/>
          <w:bCs/>
          <w:noProof/>
        </w:rPr>
      </w:sdtEndPr>
      <w:sdtContent>
        <w:p w14:paraId="5331C865" w14:textId="744CFD01" w:rsidR="006A09AB" w:rsidRPr="007323EF" w:rsidRDefault="006A09AB">
          <w:pPr>
            <w:pStyle w:val="TOCHeading"/>
            <w:rPr>
              <w:b/>
              <w:bCs/>
            </w:rPr>
          </w:pPr>
          <w:r w:rsidRPr="007323EF">
            <w:rPr>
              <w:b/>
              <w:bCs/>
            </w:rPr>
            <w:t>Table of Contents</w:t>
          </w:r>
        </w:p>
        <w:p w14:paraId="05301D8F" w14:textId="4C42E0CB" w:rsidR="00CD5B64" w:rsidRDefault="006A09AB">
          <w:pPr>
            <w:pStyle w:val="TOC1"/>
            <w:tabs>
              <w:tab w:val="right" w:leader="dot" w:pos="9350"/>
            </w:tabs>
            <w:rPr>
              <w:rFonts w:eastAsiaTheme="minorEastAsia"/>
              <w:noProof/>
              <w:kern w:val="2"/>
              <w:lang w:val="en-GB" w:eastAsia="en-GB"/>
              <w14:ligatures w14:val="standardContextual"/>
            </w:rPr>
          </w:pPr>
          <w:r>
            <w:fldChar w:fldCharType="begin"/>
          </w:r>
          <w:r>
            <w:instrText xml:space="preserve"> TOC \o "1-3" \h \z \u </w:instrText>
          </w:r>
          <w:r>
            <w:fldChar w:fldCharType="separate"/>
          </w:r>
          <w:hyperlink w:anchor="_Toc134020494" w:history="1">
            <w:r w:rsidR="00CD5B64" w:rsidRPr="002C0D63">
              <w:rPr>
                <w:rStyle w:val="Hyperlink"/>
                <w:noProof/>
              </w:rPr>
              <w:t>Introduction:</w:t>
            </w:r>
            <w:r w:rsidR="00CD5B64">
              <w:rPr>
                <w:noProof/>
                <w:webHidden/>
              </w:rPr>
              <w:tab/>
            </w:r>
            <w:r w:rsidR="00CD5B64">
              <w:rPr>
                <w:noProof/>
                <w:webHidden/>
              </w:rPr>
              <w:fldChar w:fldCharType="begin"/>
            </w:r>
            <w:r w:rsidR="00CD5B64">
              <w:rPr>
                <w:noProof/>
                <w:webHidden/>
              </w:rPr>
              <w:instrText xml:space="preserve"> PAGEREF _Toc134020494 \h </w:instrText>
            </w:r>
            <w:r w:rsidR="00CD5B64">
              <w:rPr>
                <w:noProof/>
                <w:webHidden/>
              </w:rPr>
            </w:r>
            <w:r w:rsidR="00CD5B64">
              <w:rPr>
                <w:noProof/>
                <w:webHidden/>
              </w:rPr>
              <w:fldChar w:fldCharType="separate"/>
            </w:r>
            <w:r w:rsidR="00CD5B64">
              <w:rPr>
                <w:noProof/>
                <w:webHidden/>
              </w:rPr>
              <w:t>1</w:t>
            </w:r>
            <w:r w:rsidR="00CD5B64">
              <w:rPr>
                <w:noProof/>
                <w:webHidden/>
              </w:rPr>
              <w:fldChar w:fldCharType="end"/>
            </w:r>
          </w:hyperlink>
        </w:p>
        <w:p w14:paraId="21EAA375" w14:textId="682BE619" w:rsidR="00CD5B64" w:rsidRDefault="00CD5B64">
          <w:pPr>
            <w:pStyle w:val="TOC1"/>
            <w:tabs>
              <w:tab w:val="right" w:leader="dot" w:pos="9350"/>
            </w:tabs>
            <w:rPr>
              <w:rFonts w:eastAsiaTheme="minorEastAsia"/>
              <w:noProof/>
              <w:kern w:val="2"/>
              <w:lang w:val="en-GB" w:eastAsia="en-GB"/>
              <w14:ligatures w14:val="standardContextual"/>
            </w:rPr>
          </w:pPr>
          <w:hyperlink w:anchor="_Toc134020495" w:history="1">
            <w:r w:rsidRPr="002C0D63">
              <w:rPr>
                <w:rStyle w:val="Hyperlink"/>
                <w:noProof/>
              </w:rPr>
              <w:t>Study objectives:</w:t>
            </w:r>
            <w:r>
              <w:rPr>
                <w:noProof/>
                <w:webHidden/>
              </w:rPr>
              <w:tab/>
            </w:r>
            <w:r>
              <w:rPr>
                <w:noProof/>
                <w:webHidden/>
              </w:rPr>
              <w:fldChar w:fldCharType="begin"/>
            </w:r>
            <w:r>
              <w:rPr>
                <w:noProof/>
                <w:webHidden/>
              </w:rPr>
              <w:instrText xml:space="preserve"> PAGEREF _Toc134020495 \h </w:instrText>
            </w:r>
            <w:r>
              <w:rPr>
                <w:noProof/>
                <w:webHidden/>
              </w:rPr>
            </w:r>
            <w:r>
              <w:rPr>
                <w:noProof/>
                <w:webHidden/>
              </w:rPr>
              <w:fldChar w:fldCharType="separate"/>
            </w:r>
            <w:r>
              <w:rPr>
                <w:noProof/>
                <w:webHidden/>
              </w:rPr>
              <w:t>1</w:t>
            </w:r>
            <w:r>
              <w:rPr>
                <w:noProof/>
                <w:webHidden/>
              </w:rPr>
              <w:fldChar w:fldCharType="end"/>
            </w:r>
          </w:hyperlink>
        </w:p>
        <w:p w14:paraId="418D954C" w14:textId="266FFD65" w:rsidR="00CD5B64" w:rsidRDefault="00CD5B64">
          <w:pPr>
            <w:pStyle w:val="TOC1"/>
            <w:tabs>
              <w:tab w:val="right" w:leader="dot" w:pos="9350"/>
            </w:tabs>
            <w:rPr>
              <w:rFonts w:eastAsiaTheme="minorEastAsia"/>
              <w:noProof/>
              <w:kern w:val="2"/>
              <w:lang w:val="en-GB" w:eastAsia="en-GB"/>
              <w14:ligatures w14:val="standardContextual"/>
            </w:rPr>
          </w:pPr>
          <w:hyperlink w:anchor="_Toc134020496" w:history="1">
            <w:r w:rsidRPr="002C0D63">
              <w:rPr>
                <w:rStyle w:val="Hyperlink"/>
                <w:noProof/>
              </w:rPr>
              <w:t>Methodology</w:t>
            </w:r>
            <w:r>
              <w:rPr>
                <w:noProof/>
                <w:webHidden/>
              </w:rPr>
              <w:tab/>
            </w:r>
            <w:r>
              <w:rPr>
                <w:noProof/>
                <w:webHidden/>
              </w:rPr>
              <w:fldChar w:fldCharType="begin"/>
            </w:r>
            <w:r>
              <w:rPr>
                <w:noProof/>
                <w:webHidden/>
              </w:rPr>
              <w:instrText xml:space="preserve"> PAGEREF _Toc134020496 \h </w:instrText>
            </w:r>
            <w:r>
              <w:rPr>
                <w:noProof/>
                <w:webHidden/>
              </w:rPr>
            </w:r>
            <w:r>
              <w:rPr>
                <w:noProof/>
                <w:webHidden/>
              </w:rPr>
              <w:fldChar w:fldCharType="separate"/>
            </w:r>
            <w:r>
              <w:rPr>
                <w:noProof/>
                <w:webHidden/>
              </w:rPr>
              <w:t>1</w:t>
            </w:r>
            <w:r>
              <w:rPr>
                <w:noProof/>
                <w:webHidden/>
              </w:rPr>
              <w:fldChar w:fldCharType="end"/>
            </w:r>
          </w:hyperlink>
        </w:p>
        <w:p w14:paraId="6FA55D9F" w14:textId="565C81B0" w:rsidR="00CD5B64" w:rsidRDefault="00CD5B64">
          <w:pPr>
            <w:pStyle w:val="TOC2"/>
            <w:tabs>
              <w:tab w:val="right" w:leader="dot" w:pos="9350"/>
            </w:tabs>
            <w:rPr>
              <w:rFonts w:eastAsiaTheme="minorEastAsia"/>
              <w:noProof/>
              <w:kern w:val="2"/>
              <w:lang w:val="en-GB" w:eastAsia="en-GB"/>
              <w14:ligatures w14:val="standardContextual"/>
            </w:rPr>
          </w:pPr>
          <w:hyperlink w:anchor="_Toc134020497" w:history="1">
            <w:r w:rsidRPr="002C0D63">
              <w:rPr>
                <w:rStyle w:val="Hyperlink"/>
                <w:noProof/>
              </w:rPr>
              <w:t>Research design</w:t>
            </w:r>
            <w:r>
              <w:rPr>
                <w:noProof/>
                <w:webHidden/>
              </w:rPr>
              <w:tab/>
            </w:r>
            <w:r>
              <w:rPr>
                <w:noProof/>
                <w:webHidden/>
              </w:rPr>
              <w:fldChar w:fldCharType="begin"/>
            </w:r>
            <w:r>
              <w:rPr>
                <w:noProof/>
                <w:webHidden/>
              </w:rPr>
              <w:instrText xml:space="preserve"> PAGEREF _Toc134020497 \h </w:instrText>
            </w:r>
            <w:r>
              <w:rPr>
                <w:noProof/>
                <w:webHidden/>
              </w:rPr>
            </w:r>
            <w:r>
              <w:rPr>
                <w:noProof/>
                <w:webHidden/>
              </w:rPr>
              <w:fldChar w:fldCharType="separate"/>
            </w:r>
            <w:r>
              <w:rPr>
                <w:noProof/>
                <w:webHidden/>
              </w:rPr>
              <w:t>1</w:t>
            </w:r>
            <w:r>
              <w:rPr>
                <w:noProof/>
                <w:webHidden/>
              </w:rPr>
              <w:fldChar w:fldCharType="end"/>
            </w:r>
          </w:hyperlink>
        </w:p>
        <w:p w14:paraId="360594DF" w14:textId="690D064F" w:rsidR="00CD5B64" w:rsidRDefault="00CD5B64">
          <w:pPr>
            <w:pStyle w:val="TOC2"/>
            <w:tabs>
              <w:tab w:val="right" w:leader="dot" w:pos="9350"/>
            </w:tabs>
            <w:rPr>
              <w:rFonts w:eastAsiaTheme="minorEastAsia"/>
              <w:noProof/>
              <w:kern w:val="2"/>
              <w:lang w:val="en-GB" w:eastAsia="en-GB"/>
              <w14:ligatures w14:val="standardContextual"/>
            </w:rPr>
          </w:pPr>
          <w:hyperlink w:anchor="_Toc134020498" w:history="1">
            <w:r w:rsidRPr="002C0D63">
              <w:rPr>
                <w:rStyle w:val="Hyperlink"/>
                <w:noProof/>
              </w:rPr>
              <w:t>Estimating TFA consumption:</w:t>
            </w:r>
            <w:r>
              <w:rPr>
                <w:noProof/>
                <w:webHidden/>
              </w:rPr>
              <w:tab/>
            </w:r>
            <w:r>
              <w:rPr>
                <w:noProof/>
                <w:webHidden/>
              </w:rPr>
              <w:fldChar w:fldCharType="begin"/>
            </w:r>
            <w:r>
              <w:rPr>
                <w:noProof/>
                <w:webHidden/>
              </w:rPr>
              <w:instrText xml:space="preserve"> PAGEREF _Toc134020498 \h </w:instrText>
            </w:r>
            <w:r>
              <w:rPr>
                <w:noProof/>
                <w:webHidden/>
              </w:rPr>
            </w:r>
            <w:r>
              <w:rPr>
                <w:noProof/>
                <w:webHidden/>
              </w:rPr>
              <w:fldChar w:fldCharType="separate"/>
            </w:r>
            <w:r>
              <w:rPr>
                <w:noProof/>
                <w:webHidden/>
              </w:rPr>
              <w:t>2</w:t>
            </w:r>
            <w:r>
              <w:rPr>
                <w:noProof/>
                <w:webHidden/>
              </w:rPr>
              <w:fldChar w:fldCharType="end"/>
            </w:r>
          </w:hyperlink>
        </w:p>
        <w:p w14:paraId="0F2D0F73" w14:textId="43596921" w:rsidR="00CD5B64" w:rsidRDefault="00CD5B64">
          <w:pPr>
            <w:pStyle w:val="TOC2"/>
            <w:tabs>
              <w:tab w:val="right" w:leader="dot" w:pos="9350"/>
            </w:tabs>
            <w:rPr>
              <w:rFonts w:eastAsiaTheme="minorEastAsia"/>
              <w:noProof/>
              <w:kern w:val="2"/>
              <w:lang w:val="en-GB" w:eastAsia="en-GB"/>
              <w14:ligatures w14:val="standardContextual"/>
            </w:rPr>
          </w:pPr>
          <w:hyperlink w:anchor="_Toc134020499" w:history="1">
            <w:r w:rsidRPr="002C0D63">
              <w:rPr>
                <w:rStyle w:val="Hyperlink"/>
                <w:noProof/>
              </w:rPr>
              <w:t>TFA comparative risk assessment macrosimulation model:</w:t>
            </w:r>
            <w:r>
              <w:rPr>
                <w:noProof/>
                <w:webHidden/>
              </w:rPr>
              <w:tab/>
            </w:r>
            <w:r>
              <w:rPr>
                <w:noProof/>
                <w:webHidden/>
              </w:rPr>
              <w:fldChar w:fldCharType="begin"/>
            </w:r>
            <w:r>
              <w:rPr>
                <w:noProof/>
                <w:webHidden/>
              </w:rPr>
              <w:instrText xml:space="preserve"> PAGEREF _Toc134020499 \h </w:instrText>
            </w:r>
            <w:r>
              <w:rPr>
                <w:noProof/>
                <w:webHidden/>
              </w:rPr>
            </w:r>
            <w:r>
              <w:rPr>
                <w:noProof/>
                <w:webHidden/>
              </w:rPr>
              <w:fldChar w:fldCharType="separate"/>
            </w:r>
            <w:r>
              <w:rPr>
                <w:noProof/>
                <w:webHidden/>
              </w:rPr>
              <w:t>2</w:t>
            </w:r>
            <w:r>
              <w:rPr>
                <w:noProof/>
                <w:webHidden/>
              </w:rPr>
              <w:fldChar w:fldCharType="end"/>
            </w:r>
          </w:hyperlink>
        </w:p>
        <w:p w14:paraId="4EB6597C" w14:textId="7398F1BD" w:rsidR="00CD5B64" w:rsidRDefault="00CD5B64">
          <w:pPr>
            <w:pStyle w:val="TOC2"/>
            <w:tabs>
              <w:tab w:val="right" w:leader="dot" w:pos="9350"/>
            </w:tabs>
            <w:rPr>
              <w:rFonts w:eastAsiaTheme="minorEastAsia"/>
              <w:noProof/>
              <w:kern w:val="2"/>
              <w:lang w:val="en-GB" w:eastAsia="en-GB"/>
              <w14:ligatures w14:val="standardContextual"/>
            </w:rPr>
          </w:pPr>
          <w:hyperlink w:anchor="_Toc134020500" w:history="1">
            <w:r w:rsidRPr="002C0D63">
              <w:rPr>
                <w:rStyle w:val="Hyperlink"/>
                <w:noProof/>
              </w:rPr>
              <w:t>Model parameters and data sources:</w:t>
            </w:r>
            <w:r>
              <w:rPr>
                <w:noProof/>
                <w:webHidden/>
              </w:rPr>
              <w:tab/>
            </w:r>
            <w:r>
              <w:rPr>
                <w:noProof/>
                <w:webHidden/>
              </w:rPr>
              <w:fldChar w:fldCharType="begin"/>
            </w:r>
            <w:r>
              <w:rPr>
                <w:noProof/>
                <w:webHidden/>
              </w:rPr>
              <w:instrText xml:space="preserve"> PAGEREF _Toc134020500 \h </w:instrText>
            </w:r>
            <w:r>
              <w:rPr>
                <w:noProof/>
                <w:webHidden/>
              </w:rPr>
            </w:r>
            <w:r>
              <w:rPr>
                <w:noProof/>
                <w:webHidden/>
              </w:rPr>
              <w:fldChar w:fldCharType="separate"/>
            </w:r>
            <w:r>
              <w:rPr>
                <w:noProof/>
                <w:webHidden/>
              </w:rPr>
              <w:t>2</w:t>
            </w:r>
            <w:r>
              <w:rPr>
                <w:noProof/>
                <w:webHidden/>
              </w:rPr>
              <w:fldChar w:fldCharType="end"/>
            </w:r>
          </w:hyperlink>
        </w:p>
        <w:p w14:paraId="4493D86B" w14:textId="5027811E" w:rsidR="00CD5B64" w:rsidRDefault="00CD5B64">
          <w:pPr>
            <w:pStyle w:val="TOC2"/>
            <w:tabs>
              <w:tab w:val="right" w:leader="dot" w:pos="9350"/>
            </w:tabs>
            <w:rPr>
              <w:rFonts w:eastAsiaTheme="minorEastAsia"/>
              <w:noProof/>
              <w:kern w:val="2"/>
              <w:lang w:val="en-GB" w:eastAsia="en-GB"/>
              <w14:ligatures w14:val="standardContextual"/>
            </w:rPr>
          </w:pPr>
          <w:hyperlink w:anchor="_Toc134020501" w:history="1">
            <w:r w:rsidRPr="002C0D63">
              <w:rPr>
                <w:rStyle w:val="Hyperlink"/>
                <w:noProof/>
              </w:rPr>
              <w:t>Barendregt’s continuous distribution shift method</w:t>
            </w:r>
            <w:r>
              <w:rPr>
                <w:noProof/>
                <w:webHidden/>
              </w:rPr>
              <w:tab/>
            </w:r>
            <w:r>
              <w:rPr>
                <w:noProof/>
                <w:webHidden/>
              </w:rPr>
              <w:fldChar w:fldCharType="begin"/>
            </w:r>
            <w:r>
              <w:rPr>
                <w:noProof/>
                <w:webHidden/>
              </w:rPr>
              <w:instrText xml:space="preserve"> PAGEREF _Toc134020501 \h </w:instrText>
            </w:r>
            <w:r>
              <w:rPr>
                <w:noProof/>
                <w:webHidden/>
              </w:rPr>
            </w:r>
            <w:r>
              <w:rPr>
                <w:noProof/>
                <w:webHidden/>
              </w:rPr>
              <w:fldChar w:fldCharType="separate"/>
            </w:r>
            <w:r>
              <w:rPr>
                <w:noProof/>
                <w:webHidden/>
              </w:rPr>
              <w:t>3</w:t>
            </w:r>
            <w:r>
              <w:rPr>
                <w:noProof/>
                <w:webHidden/>
              </w:rPr>
              <w:fldChar w:fldCharType="end"/>
            </w:r>
          </w:hyperlink>
        </w:p>
        <w:p w14:paraId="76E249B3" w14:textId="0F16D530" w:rsidR="00CD5B64" w:rsidRDefault="00CD5B64">
          <w:pPr>
            <w:pStyle w:val="TOC2"/>
            <w:tabs>
              <w:tab w:val="right" w:leader="dot" w:pos="9350"/>
            </w:tabs>
            <w:rPr>
              <w:rFonts w:eastAsiaTheme="minorEastAsia"/>
              <w:noProof/>
              <w:kern w:val="2"/>
              <w:lang w:val="en-GB" w:eastAsia="en-GB"/>
              <w14:ligatures w14:val="standardContextual"/>
            </w:rPr>
          </w:pPr>
          <w:hyperlink w:anchor="_Toc134020502" w:history="1">
            <w:r w:rsidRPr="002C0D63">
              <w:rPr>
                <w:rStyle w:val="Hyperlink"/>
                <w:noProof/>
              </w:rPr>
              <w:t>Estimating health impact of TFA elimination:</w:t>
            </w:r>
            <w:r>
              <w:rPr>
                <w:noProof/>
                <w:webHidden/>
              </w:rPr>
              <w:tab/>
            </w:r>
            <w:r>
              <w:rPr>
                <w:noProof/>
                <w:webHidden/>
              </w:rPr>
              <w:fldChar w:fldCharType="begin"/>
            </w:r>
            <w:r>
              <w:rPr>
                <w:noProof/>
                <w:webHidden/>
              </w:rPr>
              <w:instrText xml:space="preserve"> PAGEREF _Toc134020502 \h </w:instrText>
            </w:r>
            <w:r>
              <w:rPr>
                <w:noProof/>
                <w:webHidden/>
              </w:rPr>
            </w:r>
            <w:r>
              <w:rPr>
                <w:noProof/>
                <w:webHidden/>
              </w:rPr>
              <w:fldChar w:fldCharType="separate"/>
            </w:r>
            <w:r>
              <w:rPr>
                <w:noProof/>
                <w:webHidden/>
              </w:rPr>
              <w:t>4</w:t>
            </w:r>
            <w:r>
              <w:rPr>
                <w:noProof/>
                <w:webHidden/>
              </w:rPr>
              <w:fldChar w:fldCharType="end"/>
            </w:r>
          </w:hyperlink>
        </w:p>
        <w:p w14:paraId="62324725" w14:textId="09684C28" w:rsidR="00CD5B64" w:rsidRDefault="00CD5B64">
          <w:pPr>
            <w:pStyle w:val="TOC2"/>
            <w:tabs>
              <w:tab w:val="right" w:leader="dot" w:pos="9350"/>
            </w:tabs>
            <w:rPr>
              <w:rFonts w:eastAsiaTheme="minorEastAsia"/>
              <w:noProof/>
              <w:kern w:val="2"/>
              <w:lang w:val="en-GB" w:eastAsia="en-GB"/>
              <w14:ligatures w14:val="standardContextual"/>
            </w:rPr>
          </w:pPr>
          <w:hyperlink w:anchor="_Toc134020503" w:history="1">
            <w:r w:rsidRPr="002C0D63">
              <w:rPr>
                <w:rStyle w:val="Hyperlink"/>
                <w:noProof/>
              </w:rPr>
              <w:t>Estimating cost of premature deaths:</w:t>
            </w:r>
            <w:r>
              <w:rPr>
                <w:noProof/>
                <w:webHidden/>
              </w:rPr>
              <w:tab/>
            </w:r>
            <w:r>
              <w:rPr>
                <w:noProof/>
                <w:webHidden/>
              </w:rPr>
              <w:fldChar w:fldCharType="begin"/>
            </w:r>
            <w:r>
              <w:rPr>
                <w:noProof/>
                <w:webHidden/>
              </w:rPr>
              <w:instrText xml:space="preserve"> PAGEREF _Toc134020503 \h </w:instrText>
            </w:r>
            <w:r>
              <w:rPr>
                <w:noProof/>
                <w:webHidden/>
              </w:rPr>
            </w:r>
            <w:r>
              <w:rPr>
                <w:noProof/>
                <w:webHidden/>
              </w:rPr>
              <w:fldChar w:fldCharType="separate"/>
            </w:r>
            <w:r>
              <w:rPr>
                <w:noProof/>
                <w:webHidden/>
              </w:rPr>
              <w:t>4</w:t>
            </w:r>
            <w:r>
              <w:rPr>
                <w:noProof/>
                <w:webHidden/>
              </w:rPr>
              <w:fldChar w:fldCharType="end"/>
            </w:r>
          </w:hyperlink>
        </w:p>
        <w:p w14:paraId="3DE03EAB" w14:textId="7675C7F7" w:rsidR="00CD5B64" w:rsidRDefault="00CD5B64">
          <w:pPr>
            <w:pStyle w:val="TOC2"/>
            <w:tabs>
              <w:tab w:val="right" w:leader="dot" w:pos="9350"/>
            </w:tabs>
            <w:rPr>
              <w:rFonts w:eastAsiaTheme="minorEastAsia"/>
              <w:noProof/>
              <w:kern w:val="2"/>
              <w:lang w:val="en-GB" w:eastAsia="en-GB"/>
              <w14:ligatures w14:val="standardContextual"/>
            </w:rPr>
          </w:pPr>
          <w:hyperlink w:anchor="_Toc134020504" w:history="1">
            <w:r w:rsidRPr="002C0D63">
              <w:rPr>
                <w:rStyle w:val="Hyperlink"/>
                <w:noProof/>
              </w:rPr>
              <w:t>Uncertainty analysis:</w:t>
            </w:r>
            <w:r>
              <w:rPr>
                <w:noProof/>
                <w:webHidden/>
              </w:rPr>
              <w:tab/>
            </w:r>
            <w:r>
              <w:rPr>
                <w:noProof/>
                <w:webHidden/>
              </w:rPr>
              <w:fldChar w:fldCharType="begin"/>
            </w:r>
            <w:r>
              <w:rPr>
                <w:noProof/>
                <w:webHidden/>
              </w:rPr>
              <w:instrText xml:space="preserve"> PAGEREF _Toc134020504 \h </w:instrText>
            </w:r>
            <w:r>
              <w:rPr>
                <w:noProof/>
                <w:webHidden/>
              </w:rPr>
            </w:r>
            <w:r>
              <w:rPr>
                <w:noProof/>
                <w:webHidden/>
              </w:rPr>
              <w:fldChar w:fldCharType="separate"/>
            </w:r>
            <w:r>
              <w:rPr>
                <w:noProof/>
                <w:webHidden/>
              </w:rPr>
              <w:t>4</w:t>
            </w:r>
            <w:r>
              <w:rPr>
                <w:noProof/>
                <w:webHidden/>
              </w:rPr>
              <w:fldChar w:fldCharType="end"/>
            </w:r>
          </w:hyperlink>
        </w:p>
        <w:p w14:paraId="5ED0F2FF" w14:textId="6B587AC7" w:rsidR="00CD5B64" w:rsidRDefault="00CD5B64">
          <w:pPr>
            <w:pStyle w:val="TOC2"/>
            <w:tabs>
              <w:tab w:val="right" w:leader="dot" w:pos="9350"/>
            </w:tabs>
            <w:rPr>
              <w:rFonts w:eastAsiaTheme="minorEastAsia"/>
              <w:noProof/>
              <w:kern w:val="2"/>
              <w:lang w:val="en-GB" w:eastAsia="en-GB"/>
              <w14:ligatures w14:val="standardContextual"/>
            </w:rPr>
          </w:pPr>
          <w:hyperlink w:anchor="_Toc134020505" w:history="1">
            <w:r w:rsidRPr="002C0D63">
              <w:rPr>
                <w:rStyle w:val="Hyperlink"/>
                <w:noProof/>
              </w:rPr>
              <w:t>Estimating TFA replacement costs:</w:t>
            </w:r>
            <w:r>
              <w:rPr>
                <w:noProof/>
                <w:webHidden/>
              </w:rPr>
              <w:tab/>
            </w:r>
            <w:r>
              <w:rPr>
                <w:noProof/>
                <w:webHidden/>
              </w:rPr>
              <w:fldChar w:fldCharType="begin"/>
            </w:r>
            <w:r>
              <w:rPr>
                <w:noProof/>
                <w:webHidden/>
              </w:rPr>
              <w:instrText xml:space="preserve"> PAGEREF _Toc134020505 \h </w:instrText>
            </w:r>
            <w:r>
              <w:rPr>
                <w:noProof/>
                <w:webHidden/>
              </w:rPr>
            </w:r>
            <w:r>
              <w:rPr>
                <w:noProof/>
                <w:webHidden/>
              </w:rPr>
              <w:fldChar w:fldCharType="separate"/>
            </w:r>
            <w:r>
              <w:rPr>
                <w:noProof/>
                <w:webHidden/>
              </w:rPr>
              <w:t>4</w:t>
            </w:r>
            <w:r>
              <w:rPr>
                <w:noProof/>
                <w:webHidden/>
              </w:rPr>
              <w:fldChar w:fldCharType="end"/>
            </w:r>
          </w:hyperlink>
        </w:p>
        <w:p w14:paraId="1107086A" w14:textId="3FCA98BA" w:rsidR="00CD5B64" w:rsidRDefault="00CD5B64">
          <w:pPr>
            <w:pStyle w:val="TOC1"/>
            <w:tabs>
              <w:tab w:val="right" w:leader="dot" w:pos="9350"/>
            </w:tabs>
            <w:rPr>
              <w:rFonts w:eastAsiaTheme="minorEastAsia"/>
              <w:noProof/>
              <w:kern w:val="2"/>
              <w:lang w:val="en-GB" w:eastAsia="en-GB"/>
              <w14:ligatures w14:val="standardContextual"/>
            </w:rPr>
          </w:pPr>
          <w:hyperlink w:anchor="_Toc134020506" w:history="1">
            <w:r w:rsidRPr="002C0D63">
              <w:rPr>
                <w:rStyle w:val="Hyperlink"/>
                <w:noProof/>
              </w:rPr>
              <w:t>Assumptions:</w:t>
            </w:r>
            <w:r>
              <w:rPr>
                <w:noProof/>
                <w:webHidden/>
              </w:rPr>
              <w:tab/>
            </w:r>
            <w:r>
              <w:rPr>
                <w:noProof/>
                <w:webHidden/>
              </w:rPr>
              <w:fldChar w:fldCharType="begin"/>
            </w:r>
            <w:r>
              <w:rPr>
                <w:noProof/>
                <w:webHidden/>
              </w:rPr>
              <w:instrText xml:space="preserve"> PAGEREF _Toc134020506 \h </w:instrText>
            </w:r>
            <w:r>
              <w:rPr>
                <w:noProof/>
                <w:webHidden/>
              </w:rPr>
            </w:r>
            <w:r>
              <w:rPr>
                <w:noProof/>
                <w:webHidden/>
              </w:rPr>
              <w:fldChar w:fldCharType="separate"/>
            </w:r>
            <w:r>
              <w:rPr>
                <w:noProof/>
                <w:webHidden/>
              </w:rPr>
              <w:t>5</w:t>
            </w:r>
            <w:r>
              <w:rPr>
                <w:noProof/>
                <w:webHidden/>
              </w:rPr>
              <w:fldChar w:fldCharType="end"/>
            </w:r>
          </w:hyperlink>
        </w:p>
        <w:p w14:paraId="55DA93F0" w14:textId="79ECA6AE" w:rsidR="00CD5B64" w:rsidRDefault="00CD5B64">
          <w:pPr>
            <w:pStyle w:val="TOC1"/>
            <w:tabs>
              <w:tab w:val="right" w:leader="dot" w:pos="9350"/>
            </w:tabs>
            <w:rPr>
              <w:rFonts w:eastAsiaTheme="minorEastAsia"/>
              <w:noProof/>
              <w:kern w:val="2"/>
              <w:lang w:val="en-GB" w:eastAsia="en-GB"/>
              <w14:ligatures w14:val="standardContextual"/>
            </w:rPr>
          </w:pPr>
          <w:hyperlink w:anchor="_Toc134020507" w:history="1">
            <w:r w:rsidRPr="002C0D63">
              <w:rPr>
                <w:rStyle w:val="Hyperlink"/>
                <w:noProof/>
              </w:rPr>
              <w:t>Limitations:</w:t>
            </w:r>
            <w:r>
              <w:rPr>
                <w:noProof/>
                <w:webHidden/>
              </w:rPr>
              <w:tab/>
            </w:r>
            <w:r>
              <w:rPr>
                <w:noProof/>
                <w:webHidden/>
              </w:rPr>
              <w:fldChar w:fldCharType="begin"/>
            </w:r>
            <w:r>
              <w:rPr>
                <w:noProof/>
                <w:webHidden/>
              </w:rPr>
              <w:instrText xml:space="preserve"> PAGEREF _Toc134020507 \h </w:instrText>
            </w:r>
            <w:r>
              <w:rPr>
                <w:noProof/>
                <w:webHidden/>
              </w:rPr>
            </w:r>
            <w:r>
              <w:rPr>
                <w:noProof/>
                <w:webHidden/>
              </w:rPr>
              <w:fldChar w:fldCharType="separate"/>
            </w:r>
            <w:r>
              <w:rPr>
                <w:noProof/>
                <w:webHidden/>
              </w:rPr>
              <w:t>5</w:t>
            </w:r>
            <w:r>
              <w:rPr>
                <w:noProof/>
                <w:webHidden/>
              </w:rPr>
              <w:fldChar w:fldCharType="end"/>
            </w:r>
          </w:hyperlink>
        </w:p>
        <w:p w14:paraId="3D6A3854" w14:textId="4A32ECEB" w:rsidR="00CD5B64" w:rsidRDefault="00CD5B64">
          <w:pPr>
            <w:pStyle w:val="TOC1"/>
            <w:tabs>
              <w:tab w:val="right" w:leader="dot" w:pos="9350"/>
            </w:tabs>
            <w:rPr>
              <w:rFonts w:eastAsiaTheme="minorEastAsia"/>
              <w:noProof/>
              <w:kern w:val="2"/>
              <w:lang w:val="en-GB" w:eastAsia="en-GB"/>
              <w14:ligatures w14:val="standardContextual"/>
            </w:rPr>
          </w:pPr>
          <w:hyperlink w:anchor="_Toc134020508" w:history="1">
            <w:r w:rsidRPr="002C0D63">
              <w:rPr>
                <w:rStyle w:val="Hyperlink"/>
                <w:noProof/>
              </w:rPr>
              <w:t>Results:</w:t>
            </w:r>
            <w:r>
              <w:rPr>
                <w:noProof/>
                <w:webHidden/>
              </w:rPr>
              <w:tab/>
            </w:r>
            <w:r>
              <w:rPr>
                <w:noProof/>
                <w:webHidden/>
              </w:rPr>
              <w:fldChar w:fldCharType="begin"/>
            </w:r>
            <w:r>
              <w:rPr>
                <w:noProof/>
                <w:webHidden/>
              </w:rPr>
              <w:instrText xml:space="preserve"> PAGEREF _Toc134020508 \h </w:instrText>
            </w:r>
            <w:r>
              <w:rPr>
                <w:noProof/>
                <w:webHidden/>
              </w:rPr>
            </w:r>
            <w:r>
              <w:rPr>
                <w:noProof/>
                <w:webHidden/>
              </w:rPr>
              <w:fldChar w:fldCharType="separate"/>
            </w:r>
            <w:r>
              <w:rPr>
                <w:noProof/>
                <w:webHidden/>
              </w:rPr>
              <w:t>6</w:t>
            </w:r>
            <w:r>
              <w:rPr>
                <w:noProof/>
                <w:webHidden/>
              </w:rPr>
              <w:fldChar w:fldCharType="end"/>
            </w:r>
          </w:hyperlink>
        </w:p>
        <w:p w14:paraId="2EFFB5B3" w14:textId="6F94EE5C" w:rsidR="00CD5B64" w:rsidRDefault="00CD5B64">
          <w:pPr>
            <w:pStyle w:val="TOC2"/>
            <w:tabs>
              <w:tab w:val="right" w:leader="dot" w:pos="9350"/>
            </w:tabs>
            <w:rPr>
              <w:rFonts w:eastAsiaTheme="minorEastAsia"/>
              <w:noProof/>
              <w:kern w:val="2"/>
              <w:lang w:val="en-GB" w:eastAsia="en-GB"/>
              <w14:ligatures w14:val="standardContextual"/>
            </w:rPr>
          </w:pPr>
          <w:hyperlink w:anchor="_Toc134020509" w:history="1">
            <w:r w:rsidRPr="002C0D63">
              <w:rPr>
                <w:rStyle w:val="Hyperlink"/>
                <w:noProof/>
              </w:rPr>
              <w:t>Health and productivity benefits of TFA replacement:</w:t>
            </w:r>
            <w:r>
              <w:rPr>
                <w:noProof/>
                <w:webHidden/>
              </w:rPr>
              <w:tab/>
            </w:r>
            <w:r>
              <w:rPr>
                <w:noProof/>
                <w:webHidden/>
              </w:rPr>
              <w:fldChar w:fldCharType="begin"/>
            </w:r>
            <w:r>
              <w:rPr>
                <w:noProof/>
                <w:webHidden/>
              </w:rPr>
              <w:instrText xml:space="preserve"> PAGEREF _Toc134020509 \h </w:instrText>
            </w:r>
            <w:r>
              <w:rPr>
                <w:noProof/>
                <w:webHidden/>
              </w:rPr>
            </w:r>
            <w:r>
              <w:rPr>
                <w:noProof/>
                <w:webHidden/>
              </w:rPr>
              <w:fldChar w:fldCharType="separate"/>
            </w:r>
            <w:r>
              <w:rPr>
                <w:noProof/>
                <w:webHidden/>
              </w:rPr>
              <w:t>6</w:t>
            </w:r>
            <w:r>
              <w:rPr>
                <w:noProof/>
                <w:webHidden/>
              </w:rPr>
              <w:fldChar w:fldCharType="end"/>
            </w:r>
          </w:hyperlink>
        </w:p>
        <w:p w14:paraId="22EA5CEF" w14:textId="0B6300AA" w:rsidR="00CD5B64" w:rsidRDefault="00CD5B64">
          <w:pPr>
            <w:pStyle w:val="TOC2"/>
            <w:tabs>
              <w:tab w:val="right" w:leader="dot" w:pos="9350"/>
            </w:tabs>
            <w:rPr>
              <w:rFonts w:eastAsiaTheme="minorEastAsia"/>
              <w:noProof/>
              <w:kern w:val="2"/>
              <w:lang w:val="en-GB" w:eastAsia="en-GB"/>
              <w14:ligatures w14:val="standardContextual"/>
            </w:rPr>
          </w:pPr>
          <w:hyperlink w:anchor="_Toc134020510" w:history="1">
            <w:r w:rsidRPr="002C0D63">
              <w:rPr>
                <w:rStyle w:val="Hyperlink"/>
                <w:noProof/>
              </w:rPr>
              <w:t>Cost of industrial replacement of TFA:</w:t>
            </w:r>
            <w:r>
              <w:rPr>
                <w:noProof/>
                <w:webHidden/>
              </w:rPr>
              <w:tab/>
            </w:r>
            <w:r>
              <w:rPr>
                <w:noProof/>
                <w:webHidden/>
              </w:rPr>
              <w:fldChar w:fldCharType="begin"/>
            </w:r>
            <w:r>
              <w:rPr>
                <w:noProof/>
                <w:webHidden/>
              </w:rPr>
              <w:instrText xml:space="preserve"> PAGEREF _Toc134020510 \h </w:instrText>
            </w:r>
            <w:r>
              <w:rPr>
                <w:noProof/>
                <w:webHidden/>
              </w:rPr>
            </w:r>
            <w:r>
              <w:rPr>
                <w:noProof/>
                <w:webHidden/>
              </w:rPr>
              <w:fldChar w:fldCharType="separate"/>
            </w:r>
            <w:r>
              <w:rPr>
                <w:noProof/>
                <w:webHidden/>
              </w:rPr>
              <w:t>10</w:t>
            </w:r>
            <w:r>
              <w:rPr>
                <w:noProof/>
                <w:webHidden/>
              </w:rPr>
              <w:fldChar w:fldCharType="end"/>
            </w:r>
          </w:hyperlink>
        </w:p>
        <w:p w14:paraId="13FC0C8D" w14:textId="38F5A516" w:rsidR="00CD5B64" w:rsidRDefault="00CD5B64">
          <w:pPr>
            <w:pStyle w:val="TOC1"/>
            <w:tabs>
              <w:tab w:val="right" w:leader="dot" w:pos="9350"/>
            </w:tabs>
            <w:rPr>
              <w:rFonts w:eastAsiaTheme="minorEastAsia"/>
              <w:noProof/>
              <w:kern w:val="2"/>
              <w:lang w:val="en-GB" w:eastAsia="en-GB"/>
              <w14:ligatures w14:val="standardContextual"/>
            </w:rPr>
          </w:pPr>
          <w:hyperlink w:anchor="_Toc134020511" w:history="1">
            <w:r w:rsidRPr="002C0D63">
              <w:rPr>
                <w:rStyle w:val="Hyperlink"/>
                <w:noProof/>
              </w:rPr>
              <w:t>Discussion:</w:t>
            </w:r>
            <w:r>
              <w:rPr>
                <w:noProof/>
                <w:webHidden/>
              </w:rPr>
              <w:tab/>
            </w:r>
            <w:r>
              <w:rPr>
                <w:noProof/>
                <w:webHidden/>
              </w:rPr>
              <w:fldChar w:fldCharType="begin"/>
            </w:r>
            <w:r>
              <w:rPr>
                <w:noProof/>
                <w:webHidden/>
              </w:rPr>
              <w:instrText xml:space="preserve"> PAGEREF _Toc134020511 \h </w:instrText>
            </w:r>
            <w:r>
              <w:rPr>
                <w:noProof/>
                <w:webHidden/>
              </w:rPr>
            </w:r>
            <w:r>
              <w:rPr>
                <w:noProof/>
                <w:webHidden/>
              </w:rPr>
              <w:fldChar w:fldCharType="separate"/>
            </w:r>
            <w:r>
              <w:rPr>
                <w:noProof/>
                <w:webHidden/>
              </w:rPr>
              <w:t>12</w:t>
            </w:r>
            <w:r>
              <w:rPr>
                <w:noProof/>
                <w:webHidden/>
              </w:rPr>
              <w:fldChar w:fldCharType="end"/>
            </w:r>
          </w:hyperlink>
        </w:p>
        <w:p w14:paraId="477A3AE3" w14:textId="09127687" w:rsidR="00CD5B64" w:rsidRDefault="00CD5B64">
          <w:pPr>
            <w:pStyle w:val="TOC1"/>
            <w:tabs>
              <w:tab w:val="right" w:leader="dot" w:pos="9350"/>
            </w:tabs>
            <w:rPr>
              <w:rFonts w:eastAsiaTheme="minorEastAsia"/>
              <w:noProof/>
              <w:kern w:val="2"/>
              <w:lang w:val="en-GB" w:eastAsia="en-GB"/>
              <w14:ligatures w14:val="standardContextual"/>
            </w:rPr>
          </w:pPr>
          <w:hyperlink w:anchor="_Toc134020512" w:history="1">
            <w:r w:rsidRPr="002C0D63">
              <w:rPr>
                <w:rStyle w:val="Hyperlink"/>
                <w:noProof/>
              </w:rPr>
              <w:t>Conclusion:</w:t>
            </w:r>
            <w:r>
              <w:rPr>
                <w:noProof/>
                <w:webHidden/>
              </w:rPr>
              <w:tab/>
            </w:r>
            <w:r>
              <w:rPr>
                <w:noProof/>
                <w:webHidden/>
              </w:rPr>
              <w:fldChar w:fldCharType="begin"/>
            </w:r>
            <w:r>
              <w:rPr>
                <w:noProof/>
                <w:webHidden/>
              </w:rPr>
              <w:instrText xml:space="preserve"> PAGEREF _Toc134020512 \h </w:instrText>
            </w:r>
            <w:r>
              <w:rPr>
                <w:noProof/>
                <w:webHidden/>
              </w:rPr>
            </w:r>
            <w:r>
              <w:rPr>
                <w:noProof/>
                <w:webHidden/>
              </w:rPr>
              <w:fldChar w:fldCharType="separate"/>
            </w:r>
            <w:r>
              <w:rPr>
                <w:noProof/>
                <w:webHidden/>
              </w:rPr>
              <w:t>12</w:t>
            </w:r>
            <w:r>
              <w:rPr>
                <w:noProof/>
                <w:webHidden/>
              </w:rPr>
              <w:fldChar w:fldCharType="end"/>
            </w:r>
          </w:hyperlink>
        </w:p>
        <w:p w14:paraId="3732031D" w14:textId="602F7283" w:rsidR="00CD5B64" w:rsidRDefault="00CD5B64">
          <w:pPr>
            <w:pStyle w:val="TOC1"/>
            <w:tabs>
              <w:tab w:val="right" w:leader="dot" w:pos="9350"/>
            </w:tabs>
            <w:rPr>
              <w:rFonts w:eastAsiaTheme="minorEastAsia"/>
              <w:noProof/>
              <w:kern w:val="2"/>
              <w:lang w:val="en-GB" w:eastAsia="en-GB"/>
              <w14:ligatures w14:val="standardContextual"/>
            </w:rPr>
          </w:pPr>
          <w:hyperlink w:anchor="_Toc134020513" w:history="1">
            <w:r w:rsidRPr="002C0D63">
              <w:rPr>
                <w:rStyle w:val="Hyperlink"/>
                <w:noProof/>
              </w:rPr>
              <w:t>Acknowledgements:</w:t>
            </w:r>
            <w:r>
              <w:rPr>
                <w:noProof/>
                <w:webHidden/>
              </w:rPr>
              <w:tab/>
            </w:r>
            <w:r>
              <w:rPr>
                <w:noProof/>
                <w:webHidden/>
              </w:rPr>
              <w:fldChar w:fldCharType="begin"/>
            </w:r>
            <w:r>
              <w:rPr>
                <w:noProof/>
                <w:webHidden/>
              </w:rPr>
              <w:instrText xml:space="preserve"> PAGEREF _Toc134020513 \h </w:instrText>
            </w:r>
            <w:r>
              <w:rPr>
                <w:noProof/>
                <w:webHidden/>
              </w:rPr>
            </w:r>
            <w:r>
              <w:rPr>
                <w:noProof/>
                <w:webHidden/>
              </w:rPr>
              <w:fldChar w:fldCharType="separate"/>
            </w:r>
            <w:r>
              <w:rPr>
                <w:noProof/>
                <w:webHidden/>
              </w:rPr>
              <w:t>12</w:t>
            </w:r>
            <w:r>
              <w:rPr>
                <w:noProof/>
                <w:webHidden/>
              </w:rPr>
              <w:fldChar w:fldCharType="end"/>
            </w:r>
          </w:hyperlink>
        </w:p>
        <w:p w14:paraId="14AE318D" w14:textId="65E713F8" w:rsidR="00CD5B64" w:rsidRDefault="00CD5B64">
          <w:pPr>
            <w:pStyle w:val="TOC1"/>
            <w:tabs>
              <w:tab w:val="right" w:leader="dot" w:pos="9350"/>
            </w:tabs>
            <w:rPr>
              <w:rFonts w:eastAsiaTheme="minorEastAsia"/>
              <w:noProof/>
              <w:kern w:val="2"/>
              <w:lang w:val="en-GB" w:eastAsia="en-GB"/>
              <w14:ligatures w14:val="standardContextual"/>
            </w:rPr>
          </w:pPr>
          <w:hyperlink w:anchor="_Toc134020514" w:history="1">
            <w:r w:rsidRPr="002C0D63">
              <w:rPr>
                <w:rStyle w:val="Hyperlink"/>
                <w:noProof/>
              </w:rPr>
              <w:t>References:</w:t>
            </w:r>
            <w:r>
              <w:rPr>
                <w:noProof/>
                <w:webHidden/>
              </w:rPr>
              <w:tab/>
            </w:r>
            <w:r>
              <w:rPr>
                <w:noProof/>
                <w:webHidden/>
              </w:rPr>
              <w:fldChar w:fldCharType="begin"/>
            </w:r>
            <w:r>
              <w:rPr>
                <w:noProof/>
                <w:webHidden/>
              </w:rPr>
              <w:instrText xml:space="preserve"> PAGEREF _Toc134020514 \h </w:instrText>
            </w:r>
            <w:r>
              <w:rPr>
                <w:noProof/>
                <w:webHidden/>
              </w:rPr>
            </w:r>
            <w:r>
              <w:rPr>
                <w:noProof/>
                <w:webHidden/>
              </w:rPr>
              <w:fldChar w:fldCharType="separate"/>
            </w:r>
            <w:r>
              <w:rPr>
                <w:noProof/>
                <w:webHidden/>
              </w:rPr>
              <w:t>14</w:t>
            </w:r>
            <w:r>
              <w:rPr>
                <w:noProof/>
                <w:webHidden/>
              </w:rPr>
              <w:fldChar w:fldCharType="end"/>
            </w:r>
          </w:hyperlink>
        </w:p>
        <w:p w14:paraId="37E1A13C" w14:textId="79AFA2AB" w:rsidR="006A09AB" w:rsidRDefault="006A09AB">
          <w:r>
            <w:rPr>
              <w:b/>
              <w:bCs/>
              <w:noProof/>
            </w:rPr>
            <w:fldChar w:fldCharType="end"/>
          </w:r>
        </w:p>
      </w:sdtContent>
    </w:sdt>
    <w:p w14:paraId="0608E4EB" w14:textId="1E42C13F" w:rsidR="00D62A27" w:rsidRDefault="00D62A27">
      <w:pPr>
        <w:sectPr w:rsidR="00D62A27" w:rsidSect="00A77D50">
          <w:footerReference w:type="default" r:id="rId9"/>
          <w:footerReference w:type="first" r:id="rId10"/>
          <w:pgSz w:w="12240" w:h="15840"/>
          <w:pgMar w:top="180" w:right="1440" w:bottom="1890" w:left="1440" w:header="706" w:footer="306" w:gutter="0"/>
          <w:pgNumType w:start="1"/>
          <w:cols w:space="708"/>
          <w:docGrid w:linePitch="360"/>
        </w:sectPr>
      </w:pPr>
    </w:p>
    <w:p w14:paraId="1015496A" w14:textId="59BE42CB" w:rsidR="00470CE8" w:rsidRDefault="00B96AD8" w:rsidP="00D27D9C">
      <w:pPr>
        <w:pStyle w:val="Heading1"/>
      </w:pPr>
      <w:bookmarkStart w:id="0" w:name="_Toc134020494"/>
      <w:r>
        <w:t>Introduction</w:t>
      </w:r>
      <w:r w:rsidR="00470CE8">
        <w:t>:</w:t>
      </w:r>
      <w:bookmarkEnd w:id="0"/>
    </w:p>
    <w:p w14:paraId="6DCA36AF" w14:textId="0AFC9D23" w:rsidR="00470CE8" w:rsidRDefault="00470CE8" w:rsidP="006A09AB">
      <w:pPr>
        <w:jc w:val="both"/>
      </w:pPr>
      <w:r>
        <w:t xml:space="preserve">Since 1991, research has demonstrated the link between high intake of </w:t>
      </w:r>
      <w:r w:rsidR="00163558">
        <w:t>industrially produced</w:t>
      </w:r>
      <w:r>
        <w:t xml:space="preserve"> trans-fatty acids (iTFA) and a variety of non-communicable diseases (NCDs), including coronary heart disease (CHD). Pakistan’s trans-fat intake is estimated to be the 2nd highest in the WHO-EMRO region after Egypt and over 12% of deaths from CHD in Pakistan are attributable to high intake of trans fats.</w:t>
      </w:r>
      <w:r w:rsidR="0080034A">
        <w:t xml:space="preserve"> (IHME 2019)</w:t>
      </w:r>
      <w:r>
        <w:t xml:space="preserve"> The World Health Organization (WHO) recommends limiting </w:t>
      </w:r>
      <w:proofErr w:type="spellStart"/>
      <w:r>
        <w:t>trans fat</w:t>
      </w:r>
      <w:proofErr w:type="spellEnd"/>
      <w:r>
        <w:t xml:space="preserve"> intake to 1% of total energy intake and has called for the global elimination of iTFA from the food supply by 2023</w:t>
      </w:r>
      <w:r w:rsidR="0080034A">
        <w:t>. (WHO, 2017)</w:t>
      </w:r>
      <w:r>
        <w:t xml:space="preserve"> The WHO’s REPLACE framework outlines a number of steps to remove and replace trans-fats from country diets, among them being a ban on and replacement of </w:t>
      </w:r>
      <w:proofErr w:type="gramStart"/>
      <w:r>
        <w:t>Partially-Hydrogenated</w:t>
      </w:r>
      <w:proofErr w:type="gramEnd"/>
      <w:r>
        <w:t xml:space="preserve"> Oils in the food supply</w:t>
      </w:r>
      <w:r w:rsidR="00B96AD8">
        <w:t xml:space="preserve"> and a limit of 2% industrially-produced TFA in all food products</w:t>
      </w:r>
      <w:r>
        <w:t>.</w:t>
      </w:r>
      <w:r w:rsidR="00B96AD8">
        <w:t xml:space="preserve"> Pakistan’s National Action Plan for TFA elimination also proposes a PHO ban and 2% TFA limit in line with WHO’s REPLACE framework.</w:t>
      </w:r>
      <w:r w:rsidR="00313950">
        <w:t xml:space="preserve"> (Amjad and Khattak, 2020)</w:t>
      </w:r>
      <w:r w:rsidR="00B96AD8">
        <w:t xml:space="preserve"> </w:t>
      </w:r>
      <w:r>
        <w:t xml:space="preserve">However, concerns about the costs of replacement, raised </w:t>
      </w:r>
      <w:proofErr w:type="gramStart"/>
      <w:r>
        <w:t>in particular by</w:t>
      </w:r>
      <w:proofErr w:type="gramEnd"/>
      <w:r>
        <w:t xml:space="preserve"> industry actors, have hindered policy movement towards iTFA elimination in Pakistan. </w:t>
      </w:r>
      <w:r w:rsidR="00D27D9C">
        <w:t>This study aims to address those concerns by undertaking a cost effectiveness analysis of TFA replacement policies.</w:t>
      </w:r>
    </w:p>
    <w:p w14:paraId="0A050A66" w14:textId="7E6C8F3E" w:rsidR="0040021E" w:rsidRDefault="0040021E" w:rsidP="00CA7ABD">
      <w:pPr>
        <w:jc w:val="both"/>
      </w:pPr>
    </w:p>
    <w:p w14:paraId="60049BBD" w14:textId="77777777" w:rsidR="00895093" w:rsidRDefault="00895093" w:rsidP="00D27D9C">
      <w:pPr>
        <w:pStyle w:val="Heading1"/>
      </w:pPr>
    </w:p>
    <w:p w14:paraId="25C03376" w14:textId="106078BD" w:rsidR="0040021E" w:rsidRDefault="00470CE8" w:rsidP="00D27D9C">
      <w:pPr>
        <w:pStyle w:val="Heading1"/>
      </w:pPr>
      <w:bookmarkStart w:id="1" w:name="_Toc134020495"/>
      <w:r>
        <w:t>Study objectives:</w:t>
      </w:r>
      <w:bookmarkEnd w:id="1"/>
    </w:p>
    <w:p w14:paraId="13746AA3" w14:textId="1BEABD34" w:rsidR="0040021E" w:rsidRDefault="0040021E" w:rsidP="00CA7ABD">
      <w:pPr>
        <w:jc w:val="both"/>
      </w:pPr>
      <w:r>
        <w:t xml:space="preserve">The objective of this study was to </w:t>
      </w:r>
      <w:r w:rsidRPr="0040021E">
        <w:t>examine whether TFA elimination and replacement policies are beneficial in terms of health and economic outcomes</w:t>
      </w:r>
      <w:r>
        <w:t xml:space="preserve"> in Pakistan. This was done by</w:t>
      </w:r>
      <w:r w:rsidRPr="0040021E">
        <w:t xml:space="preserve"> assess</w:t>
      </w:r>
      <w:r>
        <w:t>ing</w:t>
      </w:r>
      <w:r w:rsidRPr="0040021E">
        <w:t xml:space="preserve"> </w:t>
      </w:r>
      <w:r>
        <w:t>t</w:t>
      </w:r>
      <w:r w:rsidRPr="0040021E">
        <w:t>he potential health and economic benef</w:t>
      </w:r>
      <w:r w:rsidR="00317176">
        <w:t>i</w:t>
      </w:r>
      <w:r w:rsidRPr="0040021E">
        <w:t xml:space="preserve">ts of TFA elimination and replacement policies from 2022-2026 </w:t>
      </w:r>
      <w:r>
        <w:t xml:space="preserve">and comparing them </w:t>
      </w:r>
      <w:r w:rsidRPr="0040021E">
        <w:t>with the industrial cost of replacement technologies</w:t>
      </w:r>
      <w:r>
        <w:t xml:space="preserve">. </w:t>
      </w:r>
      <w:r w:rsidR="00854F29">
        <w:t>The related supplementary objectives were to e</w:t>
      </w:r>
      <w:r w:rsidRPr="0040021E">
        <w:t>stimate current health and economic cost of high TFA intake in diet</w:t>
      </w:r>
      <w:r w:rsidR="00854F29">
        <w:t>s and e</w:t>
      </w:r>
      <w:r w:rsidRPr="0040021E">
        <w:t>stimate future effect of averted premature mortality due to TFA elimination and replacement</w:t>
      </w:r>
      <w:r w:rsidR="00854F29">
        <w:t xml:space="preserve"> in Pakistan.</w:t>
      </w:r>
    </w:p>
    <w:p w14:paraId="1C1E44C3" w14:textId="77777777" w:rsidR="00024663" w:rsidRDefault="00024663" w:rsidP="00D27D9C">
      <w:pPr>
        <w:pStyle w:val="Heading1"/>
      </w:pPr>
      <w:bookmarkStart w:id="2" w:name="_Toc134020496"/>
      <w:r>
        <w:t>Methodology</w:t>
      </w:r>
      <w:bookmarkEnd w:id="2"/>
      <w:r>
        <w:t xml:space="preserve"> </w:t>
      </w:r>
    </w:p>
    <w:p w14:paraId="5040BD63" w14:textId="77777777" w:rsidR="00024663" w:rsidRDefault="00024663" w:rsidP="00D27D9C">
      <w:pPr>
        <w:pStyle w:val="Heading2"/>
      </w:pPr>
      <w:bookmarkStart w:id="3" w:name="_Toc134020497"/>
      <w:r>
        <w:t>Research design</w:t>
      </w:r>
      <w:bookmarkEnd w:id="3"/>
    </w:p>
    <w:p w14:paraId="5EAE62EB" w14:textId="1F2492EA" w:rsidR="00024663" w:rsidRDefault="00024663" w:rsidP="00CA7ABD">
      <w:pPr>
        <w:jc w:val="both"/>
      </w:pPr>
      <w:r>
        <w:t>In this paper, we developed a comparative risk assessment model (the TFA Macrosimulation Model - TFAMM) developed by Dr. Eduardo Nilson</w:t>
      </w:r>
      <w:r w:rsidR="00D27D9C">
        <w:rPr>
          <w:rStyle w:val="FootnoteReference"/>
        </w:rPr>
        <w:footnoteReference w:id="1"/>
      </w:r>
      <w:r>
        <w:t xml:space="preserve"> and applied this tool to estimate the potential reductions in CVD mortality gained from the compared scenarios of TFA reduction/elimination, using Pakistan as a case study.</w:t>
      </w:r>
      <w:r w:rsidR="0080034A" w:rsidRPr="0080034A">
        <w:t xml:space="preserve"> The TFA macrosimulation model estimates the change in the annual number of </w:t>
      </w:r>
      <w:r w:rsidR="00317176">
        <w:t>CVD</w:t>
      </w:r>
      <w:r w:rsidR="0080034A" w:rsidRPr="0080034A">
        <w:t xml:space="preserve"> deaths between baseline with current TFA consumption levels and alternate or counterfactual scenarios, </w:t>
      </w:r>
      <w:r w:rsidR="00317176">
        <w:t>which, in this case, was defined as the elimination of industrially produced TFA from the food supply chain in Pakistan. The</w:t>
      </w:r>
      <w:r w:rsidR="0080034A" w:rsidRPr="0080034A">
        <w:t xml:space="preserve"> model incorporate</w:t>
      </w:r>
      <w:r w:rsidR="00317176">
        <w:t xml:space="preserve">s </w:t>
      </w:r>
      <w:r w:rsidR="0080034A" w:rsidRPr="0080034A">
        <w:t>additional output</w:t>
      </w:r>
      <w:r w:rsidR="00317176">
        <w:t xml:space="preserve">s beyond </w:t>
      </w:r>
      <w:r w:rsidR="0080034A" w:rsidRPr="0080034A">
        <w:t xml:space="preserve">impact of TFA </w:t>
      </w:r>
      <w:r w:rsidR="00317176">
        <w:t>elimination</w:t>
      </w:r>
      <w:r w:rsidR="0080034A" w:rsidRPr="0080034A">
        <w:t xml:space="preserve"> on </w:t>
      </w:r>
      <w:r w:rsidR="00317176">
        <w:t>Deaths Prevented or Postponed</w:t>
      </w:r>
      <w:r w:rsidR="0080034A" w:rsidRPr="0080034A">
        <w:t xml:space="preserve">, such as Years of Life Lost, Years of Productive Life Lost, and </w:t>
      </w:r>
      <w:r w:rsidR="00317176">
        <w:t>other</w:t>
      </w:r>
      <w:r w:rsidR="0080034A" w:rsidRPr="0080034A">
        <w:t xml:space="preserve"> economic impacts of premature deaths.</w:t>
      </w:r>
      <w:r w:rsidR="00317176">
        <w:t xml:space="preserve"> (Nilson</w:t>
      </w:r>
      <w:r w:rsidR="008D19AB">
        <w:t xml:space="preserve"> et al</w:t>
      </w:r>
      <w:r w:rsidR="00317176">
        <w:t>, 2022)</w:t>
      </w:r>
    </w:p>
    <w:p w14:paraId="6315B70C" w14:textId="77777777" w:rsidR="00024663" w:rsidRDefault="00024663" w:rsidP="00CA7ABD">
      <w:pPr>
        <w:jc w:val="both"/>
      </w:pPr>
    </w:p>
    <w:p w14:paraId="531C33DB" w14:textId="6D2DAE4C" w:rsidR="00024663" w:rsidRDefault="00317176" w:rsidP="00D27D9C">
      <w:pPr>
        <w:pStyle w:val="Heading2"/>
      </w:pPr>
      <w:bookmarkStart w:id="4" w:name="_Toc134020498"/>
      <w:r>
        <w:t xml:space="preserve">Estimating </w:t>
      </w:r>
      <w:r w:rsidR="00024663">
        <w:t>TFA consumption</w:t>
      </w:r>
      <w:r>
        <w:t>:</w:t>
      </w:r>
      <w:bookmarkEnd w:id="4"/>
    </w:p>
    <w:p w14:paraId="6B38DE2E" w14:textId="53BDDFA7" w:rsidR="00854F29" w:rsidRDefault="00317176" w:rsidP="00CA7ABD">
      <w:pPr>
        <w:jc w:val="both"/>
      </w:pPr>
      <w:r>
        <w:t>There is an absence of population-level consumption surveys measuring TFA intake in Pakistan, due to which production data on PHOs in Pakistan was used to estimate TFA intake levels. PHO production data</w:t>
      </w:r>
      <w:r w:rsidR="00024663">
        <w:t xml:space="preserve"> </w:t>
      </w:r>
      <w:r w:rsidR="00470CE8">
        <w:t>for Pakistan</w:t>
      </w:r>
      <w:r w:rsidR="00024663">
        <w:t xml:space="preserve"> </w:t>
      </w:r>
      <w:r>
        <w:t xml:space="preserve">was obtained </w:t>
      </w:r>
      <w:r w:rsidR="00024663">
        <w:t xml:space="preserve">from the PHO and Non-PHO based Oils and Fats Market: Global Industry Analysis 2013-2017 and Forecast 2018-2026, produced in 2018 by Persistence Market Research for </w:t>
      </w:r>
      <w:r w:rsidR="00470CE8">
        <w:t>EMRO</w:t>
      </w:r>
      <w:r w:rsidR="00024663">
        <w:t xml:space="preserve"> </w:t>
      </w:r>
      <w:r>
        <w:t>for</w:t>
      </w:r>
      <w:r w:rsidR="00024663">
        <w:t xml:space="preserve"> the </w:t>
      </w:r>
      <w:r w:rsidR="00470CE8">
        <w:t>WHO Eastern Mediterranean Region</w:t>
      </w:r>
      <w:r w:rsidR="00024663">
        <w:t xml:space="preserve">. </w:t>
      </w:r>
      <w:r>
        <w:t xml:space="preserve">(Persistence Market Research 2018) </w:t>
      </w:r>
      <w:r w:rsidR="00024663">
        <w:t>The market data includes information on global, regional, and national PHO and non-PHO based oils and details on the market value, volume, and application (use). PHO is used in foods like bakery products, dairy and ice cream, chocolate and confectionery, breads, and cereals.  National data on PHO use in foods can be used to estimate per capita percentage of total energy intake attributed to TFA, considering the population in the year of analysis and the estimated energy intake in the population according to dietary surveys or national food acquisition data.</w:t>
      </w:r>
    </w:p>
    <w:p w14:paraId="4C592315" w14:textId="12A3C30F" w:rsidR="00D460BD" w:rsidRDefault="00D460BD" w:rsidP="00CA7ABD">
      <w:pPr>
        <w:jc w:val="both"/>
      </w:pPr>
    </w:p>
    <w:p w14:paraId="2F7ED58A" w14:textId="2FDAA6CF" w:rsidR="00D460BD" w:rsidRPr="00D460BD" w:rsidRDefault="00D460BD" w:rsidP="00D27D9C">
      <w:pPr>
        <w:pStyle w:val="Heading2"/>
      </w:pPr>
      <w:bookmarkStart w:id="5" w:name="_Toc134020499"/>
      <w:r w:rsidRPr="00D460BD">
        <w:t>TFA comparative risk assessment macrosimulation model</w:t>
      </w:r>
      <w:r w:rsidR="00317176">
        <w:t>:</w:t>
      </w:r>
      <w:bookmarkEnd w:id="5"/>
    </w:p>
    <w:p w14:paraId="48EA2E02" w14:textId="78B2261E" w:rsidR="00D460BD" w:rsidRPr="005251F1" w:rsidRDefault="001336E0" w:rsidP="00CA7ABD">
      <w:pPr>
        <w:jc w:val="both"/>
      </w:pPr>
      <w:r w:rsidRPr="001336E0">
        <w:t xml:space="preserve">The TFA comparative risk assessment macrosimulation model estimates the potential </w:t>
      </w:r>
      <w:r w:rsidR="00317176">
        <w:t xml:space="preserve">ischemic heart </w:t>
      </w:r>
      <w:proofErr w:type="gramStart"/>
      <w:r w:rsidR="00317176">
        <w:t xml:space="preserve">disease </w:t>
      </w:r>
      <w:r>
        <w:t xml:space="preserve"> (</w:t>
      </w:r>
      <w:proofErr w:type="gramEnd"/>
      <w:r>
        <w:t>IHD)</w:t>
      </w:r>
      <w:r w:rsidRPr="001336E0">
        <w:t xml:space="preserve"> mortality reduction if trans-fat intake was reduced in diets. The primary outcome measure of this methodology is the total number of deaths </w:t>
      </w:r>
      <w:r w:rsidR="005251F1">
        <w:t>prevented</w:t>
      </w:r>
      <w:r w:rsidRPr="001336E0">
        <w:t xml:space="preserve"> or postponed (DPP) that can be attributed to the reduction in </w:t>
      </w:r>
      <w:r w:rsidR="005251F1">
        <w:t xml:space="preserve">TFA intake. It is defined as </w:t>
      </w:r>
      <w:r w:rsidR="005251F1" w:rsidRPr="005251F1">
        <w:t>the difference between the number of expected deaths in the year of analysis (age- and sex-specific IHD mortality) and the expected deaths if trans-fat intake was reduced in the diet of a specific population</w:t>
      </w:r>
      <w:r w:rsidR="005251F1">
        <w:t>. Additional</w:t>
      </w:r>
      <w:r w:rsidR="00D460BD" w:rsidRPr="00D460BD">
        <w:t xml:space="preserve"> outcome measures</w:t>
      </w:r>
      <w:r w:rsidR="005251F1">
        <w:t xml:space="preserve"> used are</w:t>
      </w:r>
      <w:r w:rsidR="00D460BD" w:rsidRPr="00D460BD">
        <w:t xml:space="preserve"> Years of Life Lost (YLL), and Years of Productive Life Lost (YPLL)</w:t>
      </w:r>
      <w:r w:rsidR="005251F1">
        <w:t>.</w:t>
      </w:r>
    </w:p>
    <w:p w14:paraId="0AB31837" w14:textId="597B0F12" w:rsidR="00D460BD" w:rsidRPr="00D460BD" w:rsidRDefault="00D460BD" w:rsidP="00D27D9C">
      <w:pPr>
        <w:pStyle w:val="Heading2"/>
      </w:pPr>
      <w:bookmarkStart w:id="6" w:name="_Toc134020500"/>
      <w:r w:rsidRPr="00D460BD">
        <w:t>Model parameters</w:t>
      </w:r>
      <w:r w:rsidR="0003189C">
        <w:t xml:space="preserve"> and data sources</w:t>
      </w:r>
      <w:r w:rsidRPr="00D460BD">
        <w:t>:</w:t>
      </w:r>
      <w:bookmarkEnd w:id="6"/>
    </w:p>
    <w:p w14:paraId="66115DAB" w14:textId="31C4906F" w:rsidR="00D460BD" w:rsidRPr="00D460BD" w:rsidRDefault="00D460BD" w:rsidP="00CA7ABD">
      <w:pPr>
        <w:jc w:val="both"/>
      </w:pPr>
      <w:r w:rsidRPr="00D460BD">
        <w:t xml:space="preserve">The TFA macrosimulation model </w:t>
      </w:r>
      <w:r w:rsidR="0066776A">
        <w:t>was</w:t>
      </w:r>
      <w:r w:rsidRPr="00D460BD">
        <w:t xml:space="preserve"> parametrized or populated using three types of relevant baseline data for the population over 25 years of age, including the context-specific and age- and sex-specific distribution of: </w:t>
      </w:r>
    </w:p>
    <w:p w14:paraId="43435AB6" w14:textId="77777777" w:rsidR="00D460BD" w:rsidRPr="00D460BD" w:rsidRDefault="00D460BD" w:rsidP="00CA7ABD">
      <w:pPr>
        <w:jc w:val="both"/>
      </w:pPr>
      <w:r w:rsidRPr="00D460BD">
        <w:tab/>
      </w:r>
      <w:proofErr w:type="spellStart"/>
      <w:r w:rsidRPr="00D460BD">
        <w:t>i</w:t>
      </w:r>
      <w:proofErr w:type="spellEnd"/>
      <w:r w:rsidRPr="00D460BD">
        <w:t>.</w:t>
      </w:r>
      <w:r w:rsidRPr="00D460BD">
        <w:tab/>
        <w:t xml:space="preserve">The number of people living in the </w:t>
      </w:r>
      <w:proofErr w:type="gramStart"/>
      <w:r w:rsidRPr="00D460BD">
        <w:t>population;</w:t>
      </w:r>
      <w:proofErr w:type="gramEnd"/>
    </w:p>
    <w:p w14:paraId="09FBE00C" w14:textId="77777777" w:rsidR="00D460BD" w:rsidRPr="00D460BD" w:rsidRDefault="00D460BD" w:rsidP="00CA7ABD">
      <w:pPr>
        <w:jc w:val="both"/>
      </w:pPr>
      <w:r w:rsidRPr="00D460BD">
        <w:tab/>
        <w:t>ii.</w:t>
      </w:r>
      <w:r w:rsidRPr="00D460BD">
        <w:tab/>
        <w:t>Dietary risk factors (TFA intake and total energy in the diet</w:t>
      </w:r>
      <w:proofErr w:type="gramStart"/>
      <w:r w:rsidRPr="00D460BD">
        <w:t>);</w:t>
      </w:r>
      <w:proofErr w:type="gramEnd"/>
    </w:p>
    <w:p w14:paraId="1ECEDD5D" w14:textId="3B246880" w:rsidR="00D460BD" w:rsidRDefault="00D460BD" w:rsidP="00CA7ABD">
      <w:pPr>
        <w:jc w:val="both"/>
      </w:pPr>
      <w:r w:rsidRPr="00D460BD">
        <w:tab/>
        <w:t>iii.</w:t>
      </w:r>
      <w:r w:rsidRPr="00D460BD">
        <w:tab/>
        <w:t>The annual number of deaths, YLLs and YLDs from IHD included in the model.</w:t>
      </w:r>
    </w:p>
    <w:p w14:paraId="7EC9BE47" w14:textId="63B70BE7" w:rsidR="0003189C" w:rsidRDefault="0003189C" w:rsidP="00CA7ABD">
      <w:pPr>
        <w:jc w:val="both"/>
      </w:pPr>
      <w:r w:rsidRPr="0003189C">
        <w:t xml:space="preserve">Sources for the data used include the most recent and available population data from the Pakistan Bureau of Statistics, Economic Survey of Pakistan data for energy intake, market research data for PHO use for food production (food and beverage industries, commercial and household) that capture the distribution of the TFA exposure, and published meta-analyses of prospective epidemiological studies/cohort studies that estimate relative risks associated with TFA intake and cardiovascular disease mortality. </w:t>
      </w:r>
      <w:r w:rsidR="00EF57C0">
        <w:t>(</w:t>
      </w:r>
      <w:r w:rsidR="00EF57C0" w:rsidRPr="00EF57C0">
        <w:t>Zhu Y, Bo Y, Liu Y</w:t>
      </w:r>
      <w:r w:rsidR="00EF57C0">
        <w:t xml:space="preserve">, </w:t>
      </w:r>
      <w:r w:rsidR="00EF57C0" w:rsidRPr="00EF57C0">
        <w:t>2019</w:t>
      </w:r>
      <w:r w:rsidR="00EF57C0">
        <w:t xml:space="preserve">) </w:t>
      </w:r>
      <w:r w:rsidRPr="0003189C">
        <w:t>Together, th</w:t>
      </w:r>
      <w:r w:rsidR="00EF57C0">
        <w:t>ese</w:t>
      </w:r>
      <w:r w:rsidRPr="0003189C">
        <w:t xml:space="preserve"> data</w:t>
      </w:r>
      <w:r w:rsidR="00EF57C0">
        <w:t xml:space="preserve"> points</w:t>
      </w:r>
      <w:r w:rsidRPr="0003189C">
        <w:t xml:space="preserve"> reflect </w:t>
      </w:r>
      <w:r w:rsidR="00EF57C0">
        <w:t>the</w:t>
      </w:r>
      <w:r w:rsidRPr="0003189C">
        <w:t xml:space="preserve"> baseline situation of the TFA macrosimulation model.</w:t>
      </w:r>
    </w:p>
    <w:p w14:paraId="2C4E8D30" w14:textId="3D954CBA" w:rsidR="0003189C" w:rsidRDefault="0003189C" w:rsidP="0003189C">
      <w:pPr>
        <w:jc w:val="both"/>
      </w:pPr>
      <w:r>
        <w:t xml:space="preserve">The per capita consumption of TFA (g/day) was derived </w:t>
      </w:r>
      <w:r w:rsidR="00EF57C0">
        <w:t>from</w:t>
      </w:r>
      <w:r>
        <w:t xml:space="preserve"> PHO market research data for Pakistan, in which the amount for annual volume of PHO used in the food chain and for household consumption (in tons) was converted into annual per capita PHO consumption in g/year by using population data from the Bureau of Statistics. Daily TFA intake was then calculated through the maximum, minimum and average levels of TFA in PHOs in Pakistan as estimated in the literature. </w:t>
      </w:r>
      <w:r w:rsidR="00EF57C0">
        <w:t xml:space="preserve">(Tarar 2020; Iqbal 2014) </w:t>
      </w:r>
      <w:r>
        <w:t>TFA as a percentage of energy intake was estimated through calculating average per capita TFA intake (in baseline and intervention scenarios) as a proportion of total per capita energy intake (Economic Survey of Pakistan</w:t>
      </w:r>
      <w:r w:rsidR="00EF57C0">
        <w:t>, 2022</w:t>
      </w:r>
      <w:r>
        <w:t>).</w:t>
      </w:r>
    </w:p>
    <w:p w14:paraId="4963BC62" w14:textId="0BEBAF3F" w:rsidR="00D71436" w:rsidRDefault="00D71436" w:rsidP="00D71436">
      <w:pPr>
        <w:pStyle w:val="Caption"/>
        <w:keepNext/>
      </w:pPr>
      <w:r>
        <w:t xml:space="preserve">Table </w:t>
      </w:r>
      <w:r w:rsidR="00F43849">
        <w:fldChar w:fldCharType="begin"/>
      </w:r>
      <w:r w:rsidR="00F43849">
        <w:instrText xml:space="preserve"> SEQ Table \* ARABIC </w:instrText>
      </w:r>
      <w:r w:rsidR="00F43849">
        <w:fldChar w:fldCharType="separate"/>
      </w:r>
      <w:r w:rsidR="00313950">
        <w:rPr>
          <w:noProof/>
        </w:rPr>
        <w:t>1</w:t>
      </w:r>
      <w:r w:rsidR="00F43849">
        <w:rPr>
          <w:noProof/>
        </w:rPr>
        <w:fldChar w:fldCharType="end"/>
      </w:r>
      <w:r>
        <w:t xml:space="preserve"> Sources of data</w:t>
      </w:r>
    </w:p>
    <w:tbl>
      <w:tblPr>
        <w:tblStyle w:val="GridTable5Dark-Accent3"/>
        <w:tblW w:w="9628" w:type="dxa"/>
        <w:tblLook w:val="0420" w:firstRow="1" w:lastRow="0" w:firstColumn="0" w:lastColumn="0" w:noHBand="0" w:noVBand="1"/>
      </w:tblPr>
      <w:tblGrid>
        <w:gridCol w:w="4614"/>
        <w:gridCol w:w="5014"/>
      </w:tblGrid>
      <w:tr w:rsidR="0003189C" w:rsidRPr="0030005E" w14:paraId="53D9E903" w14:textId="77777777" w:rsidTr="00B4123C">
        <w:trPr>
          <w:cnfStyle w:val="100000000000" w:firstRow="1" w:lastRow="0" w:firstColumn="0" w:lastColumn="0" w:oddVBand="0" w:evenVBand="0" w:oddHBand="0" w:evenHBand="0" w:firstRowFirstColumn="0" w:firstRowLastColumn="0" w:lastRowFirstColumn="0" w:lastRowLastColumn="0"/>
          <w:trHeight w:val="71"/>
        </w:trPr>
        <w:tc>
          <w:tcPr>
            <w:tcW w:w="4614" w:type="dxa"/>
            <w:hideMark/>
          </w:tcPr>
          <w:p w14:paraId="3DBF4EF8" w14:textId="77777777" w:rsidR="0003189C" w:rsidRPr="00B4123C" w:rsidRDefault="0003189C" w:rsidP="00E13B8B">
            <w:pPr>
              <w:jc w:val="both"/>
              <w:rPr>
                <w:color w:val="auto"/>
              </w:rPr>
            </w:pPr>
            <w:r w:rsidRPr="00B4123C">
              <w:rPr>
                <w:color w:val="auto"/>
              </w:rPr>
              <w:t>Data</w:t>
            </w:r>
          </w:p>
        </w:tc>
        <w:tc>
          <w:tcPr>
            <w:tcW w:w="5014" w:type="dxa"/>
            <w:hideMark/>
          </w:tcPr>
          <w:p w14:paraId="6F456252" w14:textId="77777777" w:rsidR="0003189C" w:rsidRPr="00B4123C" w:rsidRDefault="0003189C" w:rsidP="00E13B8B">
            <w:pPr>
              <w:jc w:val="both"/>
              <w:rPr>
                <w:color w:val="auto"/>
              </w:rPr>
            </w:pPr>
            <w:r w:rsidRPr="00B4123C">
              <w:rPr>
                <w:color w:val="auto"/>
              </w:rPr>
              <w:t>Source</w:t>
            </w:r>
          </w:p>
        </w:tc>
      </w:tr>
      <w:tr w:rsidR="0003189C" w:rsidRPr="0030005E" w14:paraId="5163A144" w14:textId="77777777" w:rsidTr="00B4123C">
        <w:trPr>
          <w:cnfStyle w:val="000000100000" w:firstRow="0" w:lastRow="0" w:firstColumn="0" w:lastColumn="0" w:oddVBand="0" w:evenVBand="0" w:oddHBand="1" w:evenHBand="0" w:firstRowFirstColumn="0" w:firstRowLastColumn="0" w:lastRowFirstColumn="0" w:lastRowLastColumn="0"/>
          <w:trHeight w:val="338"/>
        </w:trPr>
        <w:tc>
          <w:tcPr>
            <w:tcW w:w="4614" w:type="dxa"/>
            <w:hideMark/>
          </w:tcPr>
          <w:p w14:paraId="69CCF06E" w14:textId="77777777" w:rsidR="0003189C" w:rsidRPr="00B96AD8" w:rsidRDefault="0003189C" w:rsidP="00E13B8B">
            <w:pPr>
              <w:jc w:val="both"/>
              <w:rPr>
                <w:sz w:val="20"/>
                <w:szCs w:val="20"/>
              </w:rPr>
            </w:pPr>
            <w:r w:rsidRPr="00B96AD8">
              <w:rPr>
                <w:sz w:val="20"/>
                <w:szCs w:val="20"/>
              </w:rPr>
              <w:t>IHD deaths, years of life lost, years lived with disability, from high TFA intake in Pakistan</w:t>
            </w:r>
          </w:p>
        </w:tc>
        <w:tc>
          <w:tcPr>
            <w:tcW w:w="5014" w:type="dxa"/>
            <w:hideMark/>
          </w:tcPr>
          <w:p w14:paraId="76308BB7" w14:textId="77777777" w:rsidR="0003189C" w:rsidRPr="00B96AD8" w:rsidRDefault="0003189C" w:rsidP="00E13B8B">
            <w:pPr>
              <w:jc w:val="both"/>
              <w:rPr>
                <w:sz w:val="20"/>
                <w:szCs w:val="20"/>
              </w:rPr>
            </w:pPr>
            <w:r w:rsidRPr="00B96AD8">
              <w:rPr>
                <w:sz w:val="20"/>
                <w:szCs w:val="20"/>
              </w:rPr>
              <w:t>Global Burden of Disease database</w:t>
            </w:r>
          </w:p>
          <w:p w14:paraId="3F6CF0EE" w14:textId="77777777" w:rsidR="0003189C" w:rsidRPr="00B96AD8" w:rsidRDefault="0003189C" w:rsidP="00E13B8B">
            <w:pPr>
              <w:jc w:val="both"/>
              <w:rPr>
                <w:sz w:val="20"/>
                <w:szCs w:val="20"/>
              </w:rPr>
            </w:pPr>
            <w:r w:rsidRPr="00B96AD8">
              <w:rPr>
                <w:sz w:val="20"/>
                <w:szCs w:val="20"/>
              </w:rPr>
              <w:t>Institute of Health Metrics and Evaluation (2019)</w:t>
            </w:r>
          </w:p>
        </w:tc>
      </w:tr>
      <w:tr w:rsidR="0003189C" w:rsidRPr="0030005E" w14:paraId="43BB55AD" w14:textId="77777777" w:rsidTr="00B4123C">
        <w:trPr>
          <w:trHeight w:val="623"/>
        </w:trPr>
        <w:tc>
          <w:tcPr>
            <w:tcW w:w="4614" w:type="dxa"/>
            <w:hideMark/>
          </w:tcPr>
          <w:p w14:paraId="762EA07E" w14:textId="77777777" w:rsidR="0003189C" w:rsidRPr="00B96AD8" w:rsidRDefault="0003189C" w:rsidP="00E13B8B">
            <w:pPr>
              <w:jc w:val="both"/>
              <w:rPr>
                <w:sz w:val="20"/>
                <w:szCs w:val="20"/>
              </w:rPr>
            </w:pPr>
            <w:r w:rsidRPr="00B96AD8">
              <w:rPr>
                <w:sz w:val="20"/>
                <w:szCs w:val="20"/>
              </w:rPr>
              <w:t xml:space="preserve">Annual PHO volumes for Pakistan </w:t>
            </w:r>
          </w:p>
        </w:tc>
        <w:tc>
          <w:tcPr>
            <w:tcW w:w="5014" w:type="dxa"/>
            <w:hideMark/>
          </w:tcPr>
          <w:p w14:paraId="75CFE619" w14:textId="77777777" w:rsidR="0003189C" w:rsidRPr="00B96AD8" w:rsidRDefault="0003189C" w:rsidP="00E13B8B">
            <w:pPr>
              <w:jc w:val="both"/>
              <w:rPr>
                <w:sz w:val="20"/>
                <w:szCs w:val="20"/>
              </w:rPr>
            </w:pPr>
            <w:r w:rsidRPr="00B96AD8">
              <w:rPr>
                <w:sz w:val="20"/>
                <w:szCs w:val="20"/>
              </w:rPr>
              <w:t>PHO and Non-PHO based Oils and Fats Market: Global Industry Analysis 2013-2017 and Forecast 2018-2026, Persistence Market Research (2018)</w:t>
            </w:r>
          </w:p>
        </w:tc>
      </w:tr>
      <w:tr w:rsidR="0003189C" w:rsidRPr="0030005E" w14:paraId="7C0B46A0" w14:textId="77777777" w:rsidTr="00B4123C">
        <w:trPr>
          <w:cnfStyle w:val="000000100000" w:firstRow="0" w:lastRow="0" w:firstColumn="0" w:lastColumn="0" w:oddVBand="0" w:evenVBand="0" w:oddHBand="1" w:evenHBand="0" w:firstRowFirstColumn="0" w:firstRowLastColumn="0" w:lastRowFirstColumn="0" w:lastRowLastColumn="0"/>
          <w:trHeight w:val="216"/>
        </w:trPr>
        <w:tc>
          <w:tcPr>
            <w:tcW w:w="4614" w:type="dxa"/>
            <w:hideMark/>
          </w:tcPr>
          <w:p w14:paraId="04D2ACC9" w14:textId="77777777" w:rsidR="0003189C" w:rsidRPr="00B96AD8" w:rsidRDefault="0003189C" w:rsidP="00E13B8B">
            <w:pPr>
              <w:jc w:val="both"/>
              <w:rPr>
                <w:sz w:val="20"/>
                <w:szCs w:val="20"/>
              </w:rPr>
            </w:pPr>
            <w:r w:rsidRPr="00B96AD8">
              <w:rPr>
                <w:sz w:val="20"/>
                <w:szCs w:val="20"/>
              </w:rPr>
              <w:t>Relative Risk (RR) of TFA intake for cardiovascular disease</w:t>
            </w:r>
          </w:p>
        </w:tc>
        <w:tc>
          <w:tcPr>
            <w:tcW w:w="5014" w:type="dxa"/>
            <w:hideMark/>
          </w:tcPr>
          <w:p w14:paraId="213B53D1" w14:textId="77777777" w:rsidR="0003189C" w:rsidRPr="00B96AD8" w:rsidRDefault="0003189C" w:rsidP="00E13B8B">
            <w:pPr>
              <w:jc w:val="both"/>
              <w:rPr>
                <w:sz w:val="20"/>
                <w:szCs w:val="20"/>
              </w:rPr>
            </w:pPr>
            <w:r w:rsidRPr="00B96AD8">
              <w:rPr>
                <w:sz w:val="20"/>
                <w:szCs w:val="20"/>
              </w:rPr>
              <w:t xml:space="preserve">Meta-analyses of cohort studies (Zhu, </w:t>
            </w:r>
            <w:proofErr w:type="gramStart"/>
            <w:r w:rsidRPr="00B96AD8">
              <w:rPr>
                <w:sz w:val="20"/>
                <w:szCs w:val="20"/>
              </w:rPr>
              <w:t>Bo</w:t>
            </w:r>
            <w:proofErr w:type="gramEnd"/>
            <w:r w:rsidRPr="00B96AD8">
              <w:rPr>
                <w:sz w:val="20"/>
                <w:szCs w:val="20"/>
              </w:rPr>
              <w:t xml:space="preserve"> and Liu 2019)</w:t>
            </w:r>
          </w:p>
        </w:tc>
      </w:tr>
      <w:tr w:rsidR="0003189C" w:rsidRPr="0030005E" w14:paraId="6C503894" w14:textId="77777777" w:rsidTr="00B4123C">
        <w:trPr>
          <w:trHeight w:val="216"/>
        </w:trPr>
        <w:tc>
          <w:tcPr>
            <w:tcW w:w="4614" w:type="dxa"/>
            <w:hideMark/>
          </w:tcPr>
          <w:p w14:paraId="57A14FD3" w14:textId="77777777" w:rsidR="0003189C" w:rsidRPr="00B96AD8" w:rsidRDefault="0003189C" w:rsidP="00E13B8B">
            <w:pPr>
              <w:jc w:val="both"/>
              <w:rPr>
                <w:sz w:val="20"/>
                <w:szCs w:val="20"/>
              </w:rPr>
            </w:pPr>
            <w:r w:rsidRPr="00B96AD8">
              <w:rPr>
                <w:sz w:val="20"/>
                <w:szCs w:val="20"/>
              </w:rPr>
              <w:t>Energy intake per capita</w:t>
            </w:r>
          </w:p>
        </w:tc>
        <w:tc>
          <w:tcPr>
            <w:tcW w:w="5014" w:type="dxa"/>
            <w:hideMark/>
          </w:tcPr>
          <w:p w14:paraId="62803A7A" w14:textId="77777777" w:rsidR="0003189C" w:rsidRPr="00B96AD8" w:rsidRDefault="0003189C" w:rsidP="00E13B8B">
            <w:pPr>
              <w:jc w:val="both"/>
              <w:rPr>
                <w:sz w:val="20"/>
                <w:szCs w:val="20"/>
              </w:rPr>
            </w:pPr>
            <w:r w:rsidRPr="00B96AD8">
              <w:rPr>
                <w:sz w:val="20"/>
                <w:szCs w:val="20"/>
              </w:rPr>
              <w:t>Economic Survey of Pakistan</w:t>
            </w:r>
          </w:p>
        </w:tc>
      </w:tr>
      <w:tr w:rsidR="0003189C" w:rsidRPr="0030005E" w14:paraId="39C36FD5" w14:textId="77777777" w:rsidTr="00B4123C">
        <w:trPr>
          <w:cnfStyle w:val="000000100000" w:firstRow="0" w:lastRow="0" w:firstColumn="0" w:lastColumn="0" w:oddVBand="0" w:evenVBand="0" w:oddHBand="1" w:evenHBand="0" w:firstRowFirstColumn="0" w:firstRowLastColumn="0" w:lastRowFirstColumn="0" w:lastRowLastColumn="0"/>
          <w:trHeight w:val="338"/>
        </w:trPr>
        <w:tc>
          <w:tcPr>
            <w:tcW w:w="4614" w:type="dxa"/>
            <w:hideMark/>
          </w:tcPr>
          <w:p w14:paraId="5C9772EF" w14:textId="77777777" w:rsidR="0003189C" w:rsidRPr="00B96AD8" w:rsidRDefault="0003189C" w:rsidP="00E13B8B">
            <w:pPr>
              <w:jc w:val="both"/>
              <w:rPr>
                <w:sz w:val="20"/>
                <w:szCs w:val="20"/>
              </w:rPr>
            </w:pPr>
            <w:r w:rsidRPr="00B96AD8">
              <w:rPr>
                <w:sz w:val="20"/>
                <w:szCs w:val="20"/>
              </w:rPr>
              <w:t>TFA levels in PHO/Vanaspati ghee in Pakistan</w:t>
            </w:r>
          </w:p>
        </w:tc>
        <w:tc>
          <w:tcPr>
            <w:tcW w:w="5014" w:type="dxa"/>
            <w:hideMark/>
          </w:tcPr>
          <w:p w14:paraId="39212DB1" w14:textId="77777777" w:rsidR="0003189C" w:rsidRPr="00B96AD8" w:rsidRDefault="0003189C" w:rsidP="00E13B8B">
            <w:pPr>
              <w:jc w:val="both"/>
              <w:rPr>
                <w:sz w:val="20"/>
                <w:szCs w:val="20"/>
              </w:rPr>
            </w:pPr>
            <w:r w:rsidRPr="00B96AD8">
              <w:rPr>
                <w:sz w:val="20"/>
                <w:szCs w:val="20"/>
              </w:rPr>
              <w:t xml:space="preserve">Iqbal, </w:t>
            </w:r>
            <w:proofErr w:type="spellStart"/>
            <w:r w:rsidRPr="00B96AD8">
              <w:rPr>
                <w:sz w:val="20"/>
                <w:szCs w:val="20"/>
              </w:rPr>
              <w:t>Perwaiz</w:t>
            </w:r>
            <w:proofErr w:type="spellEnd"/>
            <w:r w:rsidRPr="00B96AD8">
              <w:rPr>
                <w:sz w:val="20"/>
                <w:szCs w:val="20"/>
              </w:rPr>
              <w:t xml:space="preserve"> (2014) </w:t>
            </w:r>
          </w:p>
          <w:p w14:paraId="48E2A43C" w14:textId="77777777" w:rsidR="0003189C" w:rsidRPr="00B96AD8" w:rsidRDefault="0003189C" w:rsidP="00E13B8B">
            <w:pPr>
              <w:jc w:val="both"/>
              <w:rPr>
                <w:sz w:val="20"/>
                <w:szCs w:val="20"/>
              </w:rPr>
            </w:pPr>
            <w:r w:rsidRPr="00B96AD8">
              <w:rPr>
                <w:sz w:val="20"/>
                <w:szCs w:val="20"/>
              </w:rPr>
              <w:t>Tarar, Omer (2020)</w:t>
            </w:r>
          </w:p>
        </w:tc>
      </w:tr>
      <w:tr w:rsidR="0003189C" w:rsidRPr="0030005E" w14:paraId="37203924" w14:textId="77777777" w:rsidTr="00B4123C">
        <w:trPr>
          <w:trHeight w:val="216"/>
        </w:trPr>
        <w:tc>
          <w:tcPr>
            <w:tcW w:w="4614" w:type="dxa"/>
            <w:hideMark/>
          </w:tcPr>
          <w:p w14:paraId="19A616A6" w14:textId="77777777" w:rsidR="0003189C" w:rsidRPr="00B96AD8" w:rsidRDefault="0003189C" w:rsidP="00E13B8B">
            <w:pPr>
              <w:jc w:val="both"/>
              <w:rPr>
                <w:sz w:val="20"/>
                <w:szCs w:val="20"/>
              </w:rPr>
            </w:pPr>
            <w:r w:rsidRPr="00B96AD8">
              <w:rPr>
                <w:sz w:val="20"/>
                <w:szCs w:val="20"/>
              </w:rPr>
              <w:t>Labour force participation rates</w:t>
            </w:r>
          </w:p>
        </w:tc>
        <w:tc>
          <w:tcPr>
            <w:tcW w:w="5014" w:type="dxa"/>
            <w:hideMark/>
          </w:tcPr>
          <w:p w14:paraId="13BF90BC" w14:textId="77777777" w:rsidR="0003189C" w:rsidRPr="00B96AD8" w:rsidRDefault="0003189C" w:rsidP="00E13B8B">
            <w:pPr>
              <w:jc w:val="both"/>
              <w:rPr>
                <w:sz w:val="20"/>
                <w:szCs w:val="20"/>
              </w:rPr>
            </w:pPr>
            <w:r w:rsidRPr="00B96AD8">
              <w:rPr>
                <w:sz w:val="20"/>
                <w:szCs w:val="20"/>
              </w:rPr>
              <w:t>Pakistan Labor Force Survey (Pakistan Bureau of Statistics)</w:t>
            </w:r>
          </w:p>
        </w:tc>
      </w:tr>
      <w:tr w:rsidR="0003189C" w:rsidRPr="0030005E" w14:paraId="539603D0" w14:textId="77777777" w:rsidTr="00B4123C">
        <w:trPr>
          <w:cnfStyle w:val="000000100000" w:firstRow="0" w:lastRow="0" w:firstColumn="0" w:lastColumn="0" w:oddVBand="0" w:evenVBand="0" w:oddHBand="1" w:evenHBand="0" w:firstRowFirstColumn="0" w:firstRowLastColumn="0" w:lastRowFirstColumn="0" w:lastRowLastColumn="0"/>
          <w:trHeight w:val="338"/>
        </w:trPr>
        <w:tc>
          <w:tcPr>
            <w:tcW w:w="4614" w:type="dxa"/>
            <w:hideMark/>
          </w:tcPr>
          <w:p w14:paraId="6A3CE06F" w14:textId="77777777" w:rsidR="0003189C" w:rsidRPr="00B96AD8" w:rsidRDefault="0003189C" w:rsidP="00E13B8B">
            <w:pPr>
              <w:jc w:val="both"/>
              <w:rPr>
                <w:sz w:val="20"/>
                <w:szCs w:val="20"/>
              </w:rPr>
            </w:pPr>
            <w:r w:rsidRPr="00B96AD8">
              <w:rPr>
                <w:sz w:val="20"/>
                <w:szCs w:val="20"/>
              </w:rPr>
              <w:t>TFA replacement costs for industry</w:t>
            </w:r>
          </w:p>
        </w:tc>
        <w:tc>
          <w:tcPr>
            <w:tcW w:w="5014" w:type="dxa"/>
            <w:hideMark/>
          </w:tcPr>
          <w:p w14:paraId="3C7AF1AB" w14:textId="77777777" w:rsidR="0003189C" w:rsidRPr="00B96AD8" w:rsidRDefault="0003189C" w:rsidP="00E13B8B">
            <w:pPr>
              <w:jc w:val="both"/>
              <w:rPr>
                <w:sz w:val="20"/>
                <w:szCs w:val="20"/>
              </w:rPr>
            </w:pPr>
            <w:r w:rsidRPr="00B96AD8">
              <w:rPr>
                <w:sz w:val="20"/>
                <w:szCs w:val="20"/>
              </w:rPr>
              <w:t xml:space="preserve">Mapping of </w:t>
            </w:r>
            <w:proofErr w:type="gramStart"/>
            <w:r w:rsidRPr="00B96AD8">
              <w:rPr>
                <w:sz w:val="20"/>
                <w:szCs w:val="20"/>
              </w:rPr>
              <w:t>Industrially-produced</w:t>
            </w:r>
            <w:proofErr w:type="gramEnd"/>
            <w:r w:rsidRPr="00B96AD8">
              <w:rPr>
                <w:sz w:val="20"/>
                <w:szCs w:val="20"/>
              </w:rPr>
              <w:t xml:space="preserve"> Trans Fatty Acids in Pakistan. GAIN (2020)</w:t>
            </w:r>
          </w:p>
        </w:tc>
      </w:tr>
      <w:tr w:rsidR="0003189C" w:rsidRPr="0030005E" w14:paraId="67C865E3" w14:textId="77777777" w:rsidTr="00B4123C">
        <w:trPr>
          <w:trHeight w:val="216"/>
        </w:trPr>
        <w:tc>
          <w:tcPr>
            <w:tcW w:w="4614" w:type="dxa"/>
            <w:hideMark/>
          </w:tcPr>
          <w:p w14:paraId="3D1D2279" w14:textId="77777777" w:rsidR="0003189C" w:rsidRPr="00B96AD8" w:rsidRDefault="0003189C" w:rsidP="00E13B8B">
            <w:pPr>
              <w:jc w:val="both"/>
              <w:rPr>
                <w:sz w:val="20"/>
                <w:szCs w:val="20"/>
              </w:rPr>
            </w:pPr>
            <w:r w:rsidRPr="00B96AD8">
              <w:rPr>
                <w:sz w:val="20"/>
                <w:szCs w:val="20"/>
              </w:rPr>
              <w:t>GDP per capita</w:t>
            </w:r>
          </w:p>
        </w:tc>
        <w:tc>
          <w:tcPr>
            <w:tcW w:w="5014" w:type="dxa"/>
            <w:hideMark/>
          </w:tcPr>
          <w:p w14:paraId="21C0429E" w14:textId="77777777" w:rsidR="0003189C" w:rsidRPr="00B96AD8" w:rsidRDefault="0003189C" w:rsidP="00E13B8B">
            <w:pPr>
              <w:jc w:val="both"/>
              <w:rPr>
                <w:sz w:val="20"/>
                <w:szCs w:val="20"/>
              </w:rPr>
            </w:pPr>
            <w:r w:rsidRPr="00B96AD8">
              <w:rPr>
                <w:sz w:val="20"/>
                <w:szCs w:val="20"/>
              </w:rPr>
              <w:t>Economic Survey of Pakistan</w:t>
            </w:r>
          </w:p>
        </w:tc>
      </w:tr>
      <w:tr w:rsidR="0003189C" w:rsidRPr="0030005E" w14:paraId="2F880FC8" w14:textId="77777777" w:rsidTr="00B4123C">
        <w:trPr>
          <w:cnfStyle w:val="000000100000" w:firstRow="0" w:lastRow="0" w:firstColumn="0" w:lastColumn="0" w:oddVBand="0" w:evenVBand="0" w:oddHBand="1" w:evenHBand="0" w:firstRowFirstColumn="0" w:firstRowLastColumn="0" w:lastRowFirstColumn="0" w:lastRowLastColumn="0"/>
          <w:trHeight w:val="216"/>
        </w:trPr>
        <w:tc>
          <w:tcPr>
            <w:tcW w:w="4614" w:type="dxa"/>
            <w:hideMark/>
          </w:tcPr>
          <w:p w14:paraId="0DF9A20A" w14:textId="77777777" w:rsidR="0003189C" w:rsidRPr="00B96AD8" w:rsidRDefault="0003189C" w:rsidP="00E13B8B">
            <w:pPr>
              <w:jc w:val="both"/>
              <w:rPr>
                <w:sz w:val="20"/>
                <w:szCs w:val="20"/>
              </w:rPr>
            </w:pPr>
            <w:r w:rsidRPr="00B96AD8">
              <w:rPr>
                <w:sz w:val="20"/>
                <w:szCs w:val="20"/>
              </w:rPr>
              <w:t>Pakistan population estimates and trends</w:t>
            </w:r>
          </w:p>
        </w:tc>
        <w:tc>
          <w:tcPr>
            <w:tcW w:w="5014" w:type="dxa"/>
            <w:hideMark/>
          </w:tcPr>
          <w:p w14:paraId="3CCA14AD" w14:textId="77777777" w:rsidR="0003189C" w:rsidRPr="00B96AD8" w:rsidRDefault="0003189C" w:rsidP="00E13B8B">
            <w:pPr>
              <w:jc w:val="both"/>
              <w:rPr>
                <w:sz w:val="20"/>
                <w:szCs w:val="20"/>
              </w:rPr>
            </w:pPr>
            <w:r w:rsidRPr="00B96AD8">
              <w:rPr>
                <w:sz w:val="20"/>
                <w:szCs w:val="20"/>
              </w:rPr>
              <w:t>Pakistan Bureau of Statistics, Macrotrends (future projections)</w:t>
            </w:r>
          </w:p>
        </w:tc>
      </w:tr>
    </w:tbl>
    <w:p w14:paraId="4BE85D42" w14:textId="77777777" w:rsidR="0003189C" w:rsidRDefault="0003189C" w:rsidP="00CA7ABD">
      <w:pPr>
        <w:jc w:val="both"/>
      </w:pPr>
    </w:p>
    <w:p w14:paraId="6FD2B554" w14:textId="77777777" w:rsidR="005251F1" w:rsidRPr="00D460BD" w:rsidRDefault="005251F1" w:rsidP="00D27D9C">
      <w:pPr>
        <w:pStyle w:val="Heading2"/>
      </w:pPr>
      <w:bookmarkStart w:id="7" w:name="_Toc134020501"/>
      <w:r w:rsidRPr="00D460BD">
        <w:t>Barendregt’s continuous distribution shift method</w:t>
      </w:r>
      <w:bookmarkEnd w:id="7"/>
    </w:p>
    <w:p w14:paraId="23F4A02F" w14:textId="00079D1F" w:rsidR="005251F1" w:rsidRPr="00D460BD" w:rsidRDefault="007B6C12" w:rsidP="00CA7ABD">
      <w:pPr>
        <w:jc w:val="both"/>
      </w:pPr>
      <w:r>
        <w:t xml:space="preserve">As applied in </w:t>
      </w:r>
      <w:proofErr w:type="spellStart"/>
      <w:r>
        <w:t>Marklund</w:t>
      </w:r>
      <w:proofErr w:type="spellEnd"/>
      <w:r>
        <w:t xml:space="preserve">, </w:t>
      </w:r>
      <w:proofErr w:type="spellStart"/>
      <w:r>
        <w:t>Veerman</w:t>
      </w:r>
      <w:proofErr w:type="spellEnd"/>
      <w:r>
        <w:t xml:space="preserve"> and Wu (2020), </w:t>
      </w:r>
      <w:r w:rsidR="00D460BD" w:rsidRPr="00D460BD">
        <w:t xml:space="preserve">Barendregt’s continuous distribution shift Potential Impact Fraction (PIF) method </w:t>
      </w:r>
      <w:r>
        <w:t>(</w:t>
      </w:r>
      <w:proofErr w:type="spellStart"/>
      <w:r>
        <w:t>Barendregt</w:t>
      </w:r>
      <w:proofErr w:type="spellEnd"/>
      <w:r>
        <w:t xml:space="preserve"> and </w:t>
      </w:r>
      <w:proofErr w:type="spellStart"/>
      <w:r>
        <w:t>Veerman</w:t>
      </w:r>
      <w:proofErr w:type="spellEnd"/>
      <w:r>
        <w:t xml:space="preserve"> 2010) </w:t>
      </w:r>
      <w:r w:rsidR="00D460BD" w:rsidRPr="00D460BD">
        <w:t xml:space="preserve">was used for the statistical analysis. </w:t>
      </w:r>
      <w:r>
        <w:t>T</w:t>
      </w:r>
      <w:r w:rsidR="00D460BD" w:rsidRPr="00D460BD">
        <w:t>he PIF is estimated through the following formula:</w:t>
      </w:r>
    </w:p>
    <w:p w14:paraId="7AB1E7C4" w14:textId="77777777" w:rsidR="00D460BD" w:rsidRPr="00D460BD" w:rsidRDefault="005251F1" w:rsidP="00CA7ABD">
      <w:pPr>
        <w:ind w:left="720"/>
        <w:jc w:val="both"/>
      </w:pPr>
      <w:r w:rsidRPr="00D460BD">
        <w:rPr>
          <w:noProof/>
        </w:rPr>
        <w:drawing>
          <wp:inline distT="0" distB="0" distL="0" distR="0" wp14:anchorId="2BD24A8E" wp14:editId="1D8FF29F">
            <wp:extent cx="4503420" cy="631320"/>
            <wp:effectExtent l="0" t="0" r="0" b="0"/>
            <wp:docPr id="7" name="Picture 6">
              <a:extLst xmlns:a="http://schemas.openxmlformats.org/drawingml/2006/main">
                <a:ext uri="{FF2B5EF4-FFF2-40B4-BE49-F238E27FC236}">
                  <a16:creationId xmlns:a16="http://schemas.microsoft.com/office/drawing/2014/main" id="{A75233BE-2B78-2EE6-E466-F8D40CC91C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75233BE-2B78-2EE6-E466-F8D40CC91CB6}"/>
                        </a:ext>
                      </a:extLst>
                    </pic:cNvPr>
                    <pic:cNvPicPr>
                      <a:picLocks noChangeAspect="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4531160" cy="635209"/>
                    </a:xfrm>
                    <a:prstGeom prst="rect">
                      <a:avLst/>
                    </a:prstGeom>
                  </pic:spPr>
                </pic:pic>
              </a:graphicData>
            </a:graphic>
          </wp:inline>
        </w:drawing>
      </w:r>
    </w:p>
    <w:p w14:paraId="10581851" w14:textId="5D4CA690" w:rsidR="00D27D9C" w:rsidRDefault="005251F1" w:rsidP="007B6C12">
      <w:pPr>
        <w:jc w:val="both"/>
      </w:pPr>
      <w:r>
        <w:t>where</w:t>
      </w:r>
      <w:r w:rsidR="00D460BD" w:rsidRPr="00D460BD">
        <w:t xml:space="preserve"> </w:t>
      </w:r>
      <w:r>
        <w:t>t</w:t>
      </w:r>
      <w:r w:rsidR="00D460BD" w:rsidRPr="00D460BD">
        <w:t xml:space="preserve">he </w:t>
      </w:r>
      <w:proofErr w:type="spellStart"/>
      <w:r w:rsidR="00D460BD" w:rsidRPr="00D460BD">
        <w:t>PIF</w:t>
      </w:r>
      <w:r w:rsidR="00D460BD" w:rsidRPr="00D460BD">
        <w:rPr>
          <w:vertAlign w:val="subscript"/>
        </w:rPr>
        <w:t>as</w:t>
      </w:r>
      <w:proofErr w:type="spellEnd"/>
      <w:r w:rsidR="00D460BD" w:rsidRPr="00D460BD">
        <w:t> is the potential impact fraction for age group a and sex s for TFA elimination intervention</w:t>
      </w:r>
      <w:r>
        <w:t>;</w:t>
      </w:r>
      <w:r w:rsidR="00D460BD" w:rsidRPr="00D460BD">
        <w:t xml:space="preserve"> </w:t>
      </w:r>
      <w:proofErr w:type="spellStart"/>
      <w:r w:rsidR="00D460BD" w:rsidRPr="00D460BD">
        <w:t>RR</w:t>
      </w:r>
      <w:r w:rsidR="00D460BD" w:rsidRPr="00D460BD">
        <w:rPr>
          <w:vertAlign w:val="subscript"/>
        </w:rPr>
        <w:t>a</w:t>
      </w:r>
      <w:proofErr w:type="spellEnd"/>
      <w:r w:rsidR="00D460BD" w:rsidRPr="00D460BD">
        <w:t>(x) is the relative risk of CVD as a function of high TFA intake</w:t>
      </w:r>
      <w:r>
        <w:t>;</w:t>
      </w:r>
      <w:r w:rsidR="00D460BD" w:rsidRPr="00D460BD">
        <w:t xml:space="preserve"> P</w:t>
      </w:r>
      <w:r w:rsidR="00D460BD" w:rsidRPr="00D460BD">
        <w:rPr>
          <w:vertAlign w:val="subscript"/>
        </w:rPr>
        <w:t>as</w:t>
      </w:r>
      <w:r w:rsidR="00D460BD" w:rsidRPr="00D460BD">
        <w:t>(x) is the reference TFA intake distribution at current levels</w:t>
      </w:r>
      <w:r w:rsidR="0066776A">
        <w:t>;</w:t>
      </w:r>
      <w:r w:rsidR="00D460BD" w:rsidRPr="00D460BD">
        <w:t xml:space="preserve"> </w:t>
      </w:r>
      <w:proofErr w:type="gramStart"/>
      <w:r w:rsidR="00D460BD" w:rsidRPr="00D460BD">
        <w:t>and</w:t>
      </w:r>
      <w:r>
        <w:t xml:space="preserve"> </w:t>
      </w:r>
      <w:r w:rsidR="00D460BD" w:rsidRPr="00D460BD">
        <w:t xml:space="preserve"> </w:t>
      </w:r>
      <w:proofErr w:type="spellStart"/>
      <w:r w:rsidR="00D460BD" w:rsidRPr="00D460BD">
        <w:t>P’</w:t>
      </w:r>
      <w:r w:rsidR="00D460BD" w:rsidRPr="00D460BD">
        <w:rPr>
          <w:vertAlign w:val="subscript"/>
        </w:rPr>
        <w:t>as</w:t>
      </w:r>
      <w:proofErr w:type="spellEnd"/>
      <w:proofErr w:type="gramEnd"/>
      <w:r w:rsidR="00D460BD" w:rsidRPr="00D460BD">
        <w:t>(x) is the intervention TFA intake distribution following enactment of limits.</w:t>
      </w:r>
      <w:r w:rsidR="00D71436">
        <w:t xml:space="preserve"> (</w:t>
      </w:r>
      <w:proofErr w:type="spellStart"/>
      <w:r w:rsidR="00D71436">
        <w:t>Marklund</w:t>
      </w:r>
      <w:proofErr w:type="spellEnd"/>
      <w:r w:rsidR="00D71436">
        <w:t xml:space="preserve">, </w:t>
      </w:r>
      <w:proofErr w:type="spellStart"/>
      <w:r w:rsidR="00D71436">
        <w:t>Veerman</w:t>
      </w:r>
      <w:proofErr w:type="spellEnd"/>
      <w:r w:rsidR="00D71436">
        <w:t xml:space="preserve"> and Wu, 2020)</w:t>
      </w:r>
    </w:p>
    <w:p w14:paraId="76AE9239" w14:textId="77777777" w:rsidR="00B4123C" w:rsidRDefault="00B4123C" w:rsidP="007B6C12">
      <w:pPr>
        <w:jc w:val="both"/>
      </w:pPr>
    </w:p>
    <w:p w14:paraId="228D6980" w14:textId="77777777" w:rsidR="00B4123C" w:rsidRPr="00A80287" w:rsidRDefault="00B4123C" w:rsidP="007B6C12">
      <w:pPr>
        <w:jc w:val="both"/>
      </w:pPr>
    </w:p>
    <w:p w14:paraId="1EA9962C" w14:textId="77777777" w:rsidR="00D27D9C" w:rsidRPr="002C6C5C" w:rsidRDefault="00D27D9C" w:rsidP="00D27D9C">
      <w:pPr>
        <w:pStyle w:val="Heading2"/>
      </w:pPr>
      <w:bookmarkStart w:id="8" w:name="_Toc134020502"/>
      <w:r w:rsidRPr="002C6C5C">
        <w:t>Estimating health impact of TFA elimination:</w:t>
      </w:r>
      <w:bookmarkEnd w:id="8"/>
    </w:p>
    <w:p w14:paraId="017D6AA5" w14:textId="77777777" w:rsidR="00D27D9C" w:rsidRPr="00D460BD" w:rsidRDefault="00D27D9C" w:rsidP="00D27D9C">
      <w:pPr>
        <w:jc w:val="both"/>
      </w:pPr>
      <w:r w:rsidRPr="00D460BD">
        <w:t>The PIF was used to calculate the effect on IHD mortality due to the reduction in TFA intake via the following equation:</w:t>
      </w:r>
    </w:p>
    <w:p w14:paraId="4370E1EE" w14:textId="77777777" w:rsidR="00D27D9C" w:rsidRPr="00D460BD" w:rsidRDefault="00D27D9C" w:rsidP="00D27D9C">
      <w:pPr>
        <w:jc w:val="both"/>
      </w:pPr>
      <w:r w:rsidRPr="00D460BD">
        <w:tab/>
      </w:r>
      <w:r w:rsidRPr="00D460BD">
        <w:tab/>
      </w:r>
      <w:r w:rsidRPr="00D460BD">
        <w:tab/>
      </w:r>
      <w:r w:rsidRPr="00D460BD">
        <w:tab/>
      </w:r>
      <w:r w:rsidRPr="00D460BD">
        <w:tab/>
        <w:t>M’ = M (</w:t>
      </w:r>
      <w:proofErr w:type="gramStart"/>
      <w:r w:rsidRPr="00D460BD">
        <w:t>1  -</w:t>
      </w:r>
      <w:proofErr w:type="gramEnd"/>
      <w:r w:rsidRPr="00D460BD">
        <w:t xml:space="preserve">   PIF) </w:t>
      </w:r>
    </w:p>
    <w:p w14:paraId="5C9844D2" w14:textId="4D6B76CC" w:rsidR="00D27D9C" w:rsidRPr="00D460BD" w:rsidRDefault="00D27D9C" w:rsidP="00D27D9C">
      <w:pPr>
        <w:jc w:val="both"/>
      </w:pPr>
      <w:r w:rsidRPr="00D460BD">
        <w:t xml:space="preserve">Where M is the deaths due to TFA intake in the reference population, M’ is the deaths in the TFA replacement intervention population and PIF is the potential impact fraction. </w:t>
      </w:r>
      <w:r w:rsidR="00A80287" w:rsidRPr="00A80287">
        <w:t>The estimated incidence rates were used in life tables to calculate reference and intervention IHD prevalence and mortality.</w:t>
      </w:r>
      <w:r w:rsidR="00A80287">
        <w:t xml:space="preserve"> </w:t>
      </w:r>
      <w:r w:rsidR="00D71436">
        <w:t>(Ibid)</w:t>
      </w:r>
    </w:p>
    <w:p w14:paraId="58951E07" w14:textId="77777777" w:rsidR="00D27D9C" w:rsidRDefault="00D27D9C" w:rsidP="00D27D9C">
      <w:pPr>
        <w:jc w:val="both"/>
      </w:pPr>
    </w:p>
    <w:p w14:paraId="6BADE867" w14:textId="77777777" w:rsidR="00D27D9C" w:rsidRPr="00D91BD2" w:rsidRDefault="00D27D9C" w:rsidP="00D27D9C">
      <w:pPr>
        <w:pStyle w:val="Heading2"/>
      </w:pPr>
      <w:bookmarkStart w:id="9" w:name="_Toc134020503"/>
      <w:r w:rsidRPr="00D91BD2">
        <w:t>Estimating cost of premature deaths:</w:t>
      </w:r>
      <w:bookmarkEnd w:id="9"/>
      <w:r w:rsidRPr="00D91BD2">
        <w:t xml:space="preserve"> </w:t>
      </w:r>
    </w:p>
    <w:p w14:paraId="332B12EE" w14:textId="77777777" w:rsidR="00D27D9C" w:rsidRPr="00D460BD" w:rsidRDefault="00D27D9C" w:rsidP="00D27D9C">
      <w:pPr>
        <w:jc w:val="both"/>
      </w:pPr>
      <w:r w:rsidRPr="00D460BD">
        <w:t xml:space="preserve">The estimated Years of Life Lost (YLL), which are part of the estimates for DALYs (Disability Adjusted Life Years), were calculated by multiplying the number of deaths averted at each age group by the number of years of life remaining up to life expectancy. </w:t>
      </w:r>
    </w:p>
    <w:p w14:paraId="1681F55A" w14:textId="46E4D0C9" w:rsidR="00D27D9C" w:rsidRPr="00D460BD" w:rsidRDefault="00D27D9C" w:rsidP="00D27D9C">
      <w:pPr>
        <w:jc w:val="both"/>
      </w:pPr>
      <w:r w:rsidRPr="00D460BD">
        <w:t>The Years of Productive Life Lost (YPLL) were estimated through the Human Capital Approach</w:t>
      </w:r>
      <w:r>
        <w:t>, which c</w:t>
      </w:r>
      <w:r w:rsidRPr="00D460BD">
        <w:t xml:space="preserve">alculates the present value of potential time in the workforce (the measure of productivity) using country-specific data for multiple years. </w:t>
      </w:r>
      <w:r w:rsidR="00D71436">
        <w:t>(</w:t>
      </w:r>
      <w:proofErr w:type="spellStart"/>
      <w:r w:rsidR="00D71436">
        <w:t>Rumisha</w:t>
      </w:r>
      <w:proofErr w:type="spellEnd"/>
      <w:r w:rsidR="00D71436">
        <w:t xml:space="preserve"> et al, 2020) </w:t>
      </w:r>
      <w:r>
        <w:t xml:space="preserve">The </w:t>
      </w:r>
      <w:r w:rsidRPr="00D460BD">
        <w:t>YPLL was calculated by multiplying the YLL from age 25 to the retirement age by the average national income</w:t>
      </w:r>
      <w:r>
        <w:t xml:space="preserve"> (GDP per capita)</w:t>
      </w:r>
      <w:r w:rsidRPr="00D460BD">
        <w:t xml:space="preserve"> and the labor force participation estimates</w:t>
      </w:r>
      <w:r>
        <w:t xml:space="preserve"> (for men and women, segregated by age groups).</w:t>
      </w:r>
    </w:p>
    <w:p w14:paraId="2F80EE18" w14:textId="7732EDC2" w:rsidR="00317176" w:rsidRDefault="00317176" w:rsidP="00583090">
      <w:pPr>
        <w:pStyle w:val="Heading2"/>
      </w:pPr>
      <w:bookmarkStart w:id="10" w:name="_Toc134020504"/>
      <w:r w:rsidRPr="00B4123C">
        <w:t>Uncertainty</w:t>
      </w:r>
      <w:r>
        <w:t xml:space="preserve"> analysis</w:t>
      </w:r>
      <w:r w:rsidR="00583090">
        <w:t>:</w:t>
      </w:r>
      <w:bookmarkEnd w:id="10"/>
    </w:p>
    <w:p w14:paraId="12AE3CB7" w14:textId="0ECA2F92" w:rsidR="00D27D9C" w:rsidRDefault="00317176" w:rsidP="00B4123C">
      <w:pPr>
        <w:jc w:val="lowKashida"/>
      </w:pPr>
      <w:r>
        <w:t xml:space="preserve">A Monte Carlo uncertainty analysis was incorporated in the model to calculate probabilistic 95% uncertainty intervals (95% UI) for all model outputs, based on 5,000 draws from specified probabilistic distributions for the model input variables, using the </w:t>
      </w:r>
      <w:proofErr w:type="spellStart"/>
      <w:r>
        <w:t>Erastz</w:t>
      </w:r>
      <w:proofErr w:type="spellEnd"/>
      <w:r>
        <w:t xml:space="preserve"> add-on</w:t>
      </w:r>
      <w:r w:rsidR="00583090">
        <w:t xml:space="preserve"> for the </w:t>
      </w:r>
      <w:proofErr w:type="spellStart"/>
      <w:r w:rsidR="00583090">
        <w:t>Barendregt</w:t>
      </w:r>
      <w:proofErr w:type="spellEnd"/>
      <w:r w:rsidR="00583090">
        <w:t xml:space="preserve"> model.</w:t>
      </w:r>
      <w:r>
        <w:t xml:space="preserve"> (</w:t>
      </w:r>
      <w:proofErr w:type="spellStart"/>
      <w:r w:rsidR="00583090" w:rsidRPr="0020699A">
        <w:rPr>
          <w:rFonts w:ascii="Calibri" w:hAnsi="Calibri" w:cs="Calibri"/>
          <w:noProof/>
          <w:szCs w:val="24"/>
        </w:rPr>
        <w:t>Barendregt</w:t>
      </w:r>
      <w:proofErr w:type="spellEnd"/>
      <w:r w:rsidR="00583090" w:rsidRPr="0020699A">
        <w:rPr>
          <w:rFonts w:ascii="Calibri" w:hAnsi="Calibri" w:cs="Calibri"/>
          <w:noProof/>
          <w:szCs w:val="24"/>
        </w:rPr>
        <w:t xml:space="preserve"> </w:t>
      </w:r>
      <w:r w:rsidR="00583090">
        <w:rPr>
          <w:rFonts w:ascii="Calibri" w:hAnsi="Calibri" w:cs="Calibri"/>
          <w:noProof/>
          <w:szCs w:val="24"/>
        </w:rPr>
        <w:t>2017)</w:t>
      </w:r>
      <w:r>
        <w:t xml:space="preserve"> This also allow</w:t>
      </w:r>
      <w:r w:rsidR="00583090">
        <w:t>ed</w:t>
      </w:r>
      <w:r>
        <w:t xml:space="preserve"> the model to incorporate the usual random error (sampling error) in the Relative Risks (RR) and exposure prevalence as well as other potential sources of uncertainty </w:t>
      </w:r>
      <w:r w:rsidR="00583090">
        <w:t>like</w:t>
      </w:r>
      <w:r>
        <w:t xml:space="preserve"> extrapolation from a source to a target population, because of the assumption of the portability of the RRs from the meta</w:t>
      </w:r>
      <w:r w:rsidR="00583090">
        <w:t>-a</w:t>
      </w:r>
      <w:r>
        <w:t xml:space="preserve">nalyses. In case of the modeling in this study, the final population </w:t>
      </w:r>
      <w:r w:rsidR="00583090">
        <w:t>impac</w:t>
      </w:r>
      <w:r w:rsidR="00626E4F">
        <w:t>t</w:t>
      </w:r>
      <w:r>
        <w:t xml:space="preserve"> fractions (P</w:t>
      </w:r>
      <w:r w:rsidR="00583090">
        <w:t>I</w:t>
      </w:r>
      <w:r>
        <w:t xml:space="preserve">F) are based on the weighted sum of the PAF for each exposure, sex, and age-group </w:t>
      </w:r>
      <w:proofErr w:type="gramStart"/>
      <w:r>
        <w:t>strata</w:t>
      </w:r>
      <w:proofErr w:type="gramEnd"/>
    </w:p>
    <w:p w14:paraId="55AACD8B" w14:textId="77777777" w:rsidR="00B4123C" w:rsidRDefault="00B4123C" w:rsidP="00B4123C">
      <w:pPr>
        <w:jc w:val="lowKashida"/>
      </w:pPr>
    </w:p>
    <w:p w14:paraId="415BE2BE" w14:textId="77777777" w:rsidR="00D27D9C" w:rsidRPr="00D91BD2" w:rsidRDefault="00D27D9C" w:rsidP="00D27D9C">
      <w:pPr>
        <w:pStyle w:val="Heading2"/>
      </w:pPr>
      <w:bookmarkStart w:id="11" w:name="_Toc134020505"/>
      <w:r w:rsidRPr="00D91BD2">
        <w:t>Estimating TFA replacement costs:</w:t>
      </w:r>
      <w:bookmarkEnd w:id="11"/>
    </w:p>
    <w:p w14:paraId="250A1F1B" w14:textId="774DBAE1" w:rsidR="00D27D9C" w:rsidRDefault="00D27D9C" w:rsidP="00D71436">
      <w:pPr>
        <w:jc w:val="both"/>
      </w:pPr>
      <w:r>
        <w:t>The costs of iTFA replacement were estimated in terms of the cost of reformulation of food products containing iTFA in the food supply chain (primarily vanaspati ghee, as identified by recent studies</w:t>
      </w:r>
      <w:r w:rsidR="00F40D5D">
        <w:t xml:space="preserve"> (Rashid, A, Amjad, Nishtar and Nishtar 2020; Tarar et al 2020)</w:t>
      </w:r>
      <w:r>
        <w:t xml:space="preserve"> on dietary sources of iTFA in the Pakistani food supply). The replacement solutions were identified from the recent study on ‘Replacement solutions for industrial trans-fatty acids by small and medium enterprises’ in Pakistan by the Global Alliance for Improved Nutrition.</w:t>
      </w:r>
      <w:r w:rsidR="00F40D5D">
        <w:t xml:space="preserve"> (GAIN 2019)</w:t>
      </w:r>
      <w:r>
        <w:t xml:space="preserve"> Costs were estimated for the reformulation solutions of chemical and enzymatic interesterification, as they are identified in the study as having high practical application, with the added advantage of producing</w:t>
      </w:r>
      <w:r w:rsidR="00A80287">
        <w:t xml:space="preserve"> high polyunsaturated and monounsaturated content and</w:t>
      </w:r>
      <w:r>
        <w:t xml:space="preserve"> lower SFA content</w:t>
      </w:r>
      <w:r w:rsidR="00A80287">
        <w:t xml:space="preserve"> (compared to other production methods)</w:t>
      </w:r>
      <w:r>
        <w:t>, being easily implementable in existing factories in the country and acceptable to consumers.</w:t>
      </w:r>
      <w:r w:rsidR="00A80287">
        <w:t xml:space="preserve"> (</w:t>
      </w:r>
      <w:r w:rsidR="00F40D5D">
        <w:t>Ibid</w:t>
      </w:r>
      <w:r w:rsidR="00A80287">
        <w:t>)</w:t>
      </w:r>
      <w:r>
        <w:t xml:space="preserve"> Replacement cost per annum was estimated in terms of the capital and operational cost of chemical and enzymatic interesterification per ton of production multiplied by the annual estimated domestic production volumes of producers, as per the latest available data (</w:t>
      </w:r>
      <w:r w:rsidR="00D71436">
        <w:t xml:space="preserve">from </w:t>
      </w:r>
      <w:r>
        <w:t xml:space="preserve">2021). </w:t>
      </w:r>
    </w:p>
    <w:p w14:paraId="1C9EEDB3" w14:textId="042EC6E0" w:rsidR="0030005E" w:rsidRPr="002C6C5C" w:rsidRDefault="0030005E" w:rsidP="00D27D9C">
      <w:pPr>
        <w:pStyle w:val="Heading1"/>
      </w:pPr>
      <w:bookmarkStart w:id="12" w:name="_Toc134020506"/>
      <w:r w:rsidRPr="002C6C5C">
        <w:t>Assumptions:</w:t>
      </w:r>
      <w:bookmarkEnd w:id="12"/>
      <w:r w:rsidRPr="002C6C5C">
        <w:t xml:space="preserve"> </w:t>
      </w:r>
    </w:p>
    <w:p w14:paraId="0533F7BD" w14:textId="7C074BF6" w:rsidR="0030005E" w:rsidRDefault="000E70EC" w:rsidP="00D71436">
      <w:pPr>
        <w:jc w:val="both"/>
      </w:pPr>
      <w:r>
        <w:t>It was assumed for the purpose of the analysis that c</w:t>
      </w:r>
      <w:r w:rsidR="0030005E" w:rsidRPr="0030005E">
        <w:t xml:space="preserve">hanges between current TFA consumption and after TFA replacement </w:t>
      </w:r>
      <w:proofErr w:type="gramStart"/>
      <w:r w:rsidR="0030005E" w:rsidRPr="0030005E">
        <w:t>occurs</w:t>
      </w:r>
      <w:proofErr w:type="gramEnd"/>
      <w:r w:rsidR="0030005E" w:rsidRPr="0030005E">
        <w:t xml:space="preserve"> in all individuals by the same amount.</w:t>
      </w:r>
      <w:r>
        <w:t xml:space="preserve"> Further, </w:t>
      </w:r>
      <w:r w:rsidR="0030005E" w:rsidRPr="0030005E">
        <w:t>TFA intake (% of total energy) was treated as a continuous risk exposure with a log-normal distribution in the population.</w:t>
      </w:r>
      <w:r w:rsidR="00D71436">
        <w:t xml:space="preserve"> </w:t>
      </w:r>
      <w:r w:rsidR="0030005E" w:rsidRPr="0030005E">
        <w:t xml:space="preserve">As the percentage of use of PHO for food production is not available by country, we assume that the </w:t>
      </w:r>
      <w:r w:rsidR="00D71436">
        <w:t>proportions</w:t>
      </w:r>
      <w:r w:rsidR="0030005E" w:rsidRPr="0030005E">
        <w:t xml:space="preserve"> </w:t>
      </w:r>
      <w:r w:rsidR="00D71436">
        <w:t>estimated by Market Persistence Research (2018)</w:t>
      </w:r>
      <w:r w:rsidR="0030005E" w:rsidRPr="0030005E">
        <w:t xml:space="preserve"> for food production for the entire WHO-EMRO Region will be applicable to Pakistan</w:t>
      </w:r>
      <w:r w:rsidR="00D71436">
        <w:t xml:space="preserve">. It is further assumed that </w:t>
      </w:r>
      <w:r w:rsidR="0030005E" w:rsidRPr="0030005E">
        <w:t xml:space="preserve">TFA regulations </w:t>
      </w:r>
      <w:r w:rsidR="00D71436">
        <w:t xml:space="preserve">will be implemented and enforced </w:t>
      </w:r>
      <w:r w:rsidR="0030005E" w:rsidRPr="0030005E">
        <w:t xml:space="preserve">by food authorities and </w:t>
      </w:r>
      <w:r w:rsidR="00D71436">
        <w:t>complied with</w:t>
      </w:r>
      <w:r w:rsidR="0030005E" w:rsidRPr="0030005E">
        <w:t xml:space="preserve"> by industry.</w:t>
      </w:r>
    </w:p>
    <w:p w14:paraId="494F955E" w14:textId="77777777" w:rsidR="00B4123C" w:rsidRPr="0030005E" w:rsidRDefault="00B4123C" w:rsidP="00D71436">
      <w:pPr>
        <w:jc w:val="both"/>
      </w:pPr>
    </w:p>
    <w:p w14:paraId="73A97FD4" w14:textId="7B599B1A" w:rsidR="0030005E" w:rsidRDefault="002C6C5C" w:rsidP="00D27D9C">
      <w:pPr>
        <w:pStyle w:val="Heading1"/>
      </w:pPr>
      <w:bookmarkStart w:id="13" w:name="_Toc134020507"/>
      <w:r w:rsidRPr="002C6C5C">
        <w:t>Limitations</w:t>
      </w:r>
      <w:r>
        <w:t>:</w:t>
      </w:r>
      <w:bookmarkEnd w:id="13"/>
    </w:p>
    <w:p w14:paraId="1DE905FA" w14:textId="3EFA10E2" w:rsidR="00C73DBB" w:rsidRPr="00D71436" w:rsidRDefault="000E70EC" w:rsidP="00D71436">
      <w:pPr>
        <w:jc w:val="both"/>
      </w:pPr>
      <w:r>
        <w:t>As p</w:t>
      </w:r>
      <w:r w:rsidR="002C6C5C" w:rsidRPr="002C6C5C">
        <w:t xml:space="preserve">opulation-level dietary data on TFA intake levels is not available for Pakistan, hence PHO </w:t>
      </w:r>
      <w:r>
        <w:t>market v</w:t>
      </w:r>
      <w:r w:rsidR="002C6C5C" w:rsidRPr="002C6C5C">
        <w:t xml:space="preserve">olumes </w:t>
      </w:r>
      <w:r>
        <w:t>had</w:t>
      </w:r>
      <w:r w:rsidR="002C6C5C" w:rsidRPr="002C6C5C">
        <w:t xml:space="preserve"> to be relied on to estimate current and future share of TFA in energy intake. </w:t>
      </w:r>
      <w:r>
        <w:t>Further, t</w:t>
      </w:r>
      <w:r w:rsidR="002C6C5C" w:rsidRPr="002C6C5C">
        <w:t>he economic impacts of TFA elimination on productivity represents only part of the total outcomes (premature deaths), but other aspects such as treatment costs, presentism and absenteeism are not covered by the model because of lack of data on IHD incidence attributable to TFA.</w:t>
      </w:r>
      <w:r>
        <w:t xml:space="preserve"> Additionally, t</w:t>
      </w:r>
      <w:r w:rsidR="002C6C5C" w:rsidRPr="002C6C5C">
        <w:t xml:space="preserve">he macrosimulation model also does not account for the possible interactions between behavioral risk factors for NCDs and is unable to incorporate the effect of time lag between exposure and disease outcome.  </w:t>
      </w:r>
    </w:p>
    <w:p w14:paraId="5AA5B12A" w14:textId="0D22036E" w:rsidR="00B4123C" w:rsidRDefault="00B4123C">
      <w:r>
        <w:br w:type="page"/>
      </w:r>
    </w:p>
    <w:p w14:paraId="6CEA42FD" w14:textId="77777777" w:rsidR="00F13AD7" w:rsidRDefault="00F13AD7" w:rsidP="00CA7ABD">
      <w:pPr>
        <w:jc w:val="both"/>
      </w:pPr>
    </w:p>
    <w:p w14:paraId="532E3054" w14:textId="434E889E" w:rsidR="00CB6CCB" w:rsidRDefault="00CB6CCB" w:rsidP="00D27D9C">
      <w:pPr>
        <w:pStyle w:val="Heading1"/>
      </w:pPr>
      <w:bookmarkStart w:id="14" w:name="_Toc134020508"/>
      <w:r>
        <w:t>Results</w:t>
      </w:r>
      <w:r w:rsidR="00D27D9C">
        <w:t>:</w:t>
      </w:r>
      <w:bookmarkEnd w:id="14"/>
    </w:p>
    <w:p w14:paraId="67551E6F" w14:textId="4064A1AC" w:rsidR="00D71436" w:rsidRDefault="00D71436" w:rsidP="00D71436">
      <w:pPr>
        <w:pStyle w:val="Heading2"/>
      </w:pPr>
      <w:bookmarkStart w:id="15" w:name="_Toc134020509"/>
      <w:r>
        <w:t>Health and productivity benefits of TFA replacement:</w:t>
      </w:r>
      <w:bookmarkEnd w:id="15"/>
    </w:p>
    <w:p w14:paraId="2E00F99B" w14:textId="1A6672F7" w:rsidR="00CB6CCB" w:rsidRDefault="009B7BBE" w:rsidP="00CA7ABD">
      <w:pPr>
        <w:jc w:val="both"/>
      </w:pPr>
      <w:r>
        <w:t xml:space="preserve">Existing estimates of deaths and YLLs due to </w:t>
      </w:r>
      <w:proofErr w:type="spellStart"/>
      <w:r>
        <w:t>trans fat</w:t>
      </w:r>
      <w:proofErr w:type="spellEnd"/>
      <w:r>
        <w:t xml:space="preserve"> in Pakistan, from the IHME’s Global Burden of Disease database show that 17,445 deaths and 556,851 YLLs from ischemic heart disease (IHD) in 2019 were attributable to </w:t>
      </w:r>
      <w:proofErr w:type="spellStart"/>
      <w:r>
        <w:t>trans fat</w:t>
      </w:r>
      <w:proofErr w:type="spellEnd"/>
      <w:r>
        <w:t>.</w:t>
      </w:r>
    </w:p>
    <w:p w14:paraId="07CE966A" w14:textId="37917115" w:rsidR="00D96C40" w:rsidRDefault="00CB6CCB" w:rsidP="00CA7ABD">
      <w:pPr>
        <w:jc w:val="both"/>
      </w:pPr>
      <w:r>
        <w:t>In 201</w:t>
      </w:r>
      <w:r w:rsidR="00AD763A">
        <w:t>7 (the year for which latest PHO volumes for Pakistan are available)</w:t>
      </w:r>
      <w:r w:rsidR="00F13AD7">
        <w:t>,</w:t>
      </w:r>
      <w:r>
        <w:t xml:space="preserve"> the</w:t>
      </w:r>
      <w:r w:rsidR="00EB5F19">
        <w:t xml:space="preserve"> average</w:t>
      </w:r>
      <w:r>
        <w:t xml:space="preserve"> per capita use of PHO </w:t>
      </w:r>
      <w:r w:rsidR="00195449">
        <w:t xml:space="preserve">in Pakistan </w:t>
      </w:r>
      <w:r>
        <w:t xml:space="preserve">was estimated at </w:t>
      </w:r>
      <w:r w:rsidR="00195449">
        <w:t xml:space="preserve">6 </w:t>
      </w:r>
      <w:r>
        <w:t>g/day</w:t>
      </w:r>
      <w:r w:rsidR="00EB5F19">
        <w:t xml:space="preserve">, </w:t>
      </w:r>
      <w:r w:rsidR="00F13AD7">
        <w:t>with a maximum per capita T</w:t>
      </w:r>
      <w:r w:rsidR="00EB5F19">
        <w:t xml:space="preserve">FA intake </w:t>
      </w:r>
      <w:r w:rsidR="00F13AD7">
        <w:t>of 2.</w:t>
      </w:r>
      <w:r w:rsidR="00D83C51">
        <w:t>4</w:t>
      </w:r>
      <w:r w:rsidR="00F13AD7">
        <w:t>g/day and a</w:t>
      </w:r>
      <w:r w:rsidR="00D83C51">
        <w:t xml:space="preserve">n average </w:t>
      </w:r>
      <w:r w:rsidR="00F13AD7">
        <w:t>per capita TFA intake of 1.</w:t>
      </w:r>
      <w:r w:rsidR="00AD763A">
        <w:t>3</w:t>
      </w:r>
      <w:r w:rsidR="00F13AD7">
        <w:t xml:space="preserve">g/day. </w:t>
      </w:r>
      <w:r w:rsidR="00D96C40">
        <w:t xml:space="preserve">The average </w:t>
      </w:r>
      <w:r w:rsidR="00D83C51">
        <w:t xml:space="preserve">percentage of energy </w:t>
      </w:r>
      <w:r w:rsidR="00AD763A">
        <w:t xml:space="preserve">from TFA is estimated at 0.42% of an estimated 2,735 kcal/day. It is estimated that with a policy of TFA </w:t>
      </w:r>
      <w:r w:rsidR="00C73DBB">
        <w:t>replacement</w:t>
      </w:r>
      <w:r w:rsidR="00AD763A">
        <w:t xml:space="preserve">, the estimated per capita participation of TFA in energy intake for the same year would fall to 0.19%. </w:t>
      </w:r>
    </w:p>
    <w:p w14:paraId="31CCBD64" w14:textId="6B7577E6" w:rsidR="00AD763A" w:rsidRDefault="00AD763A" w:rsidP="00CA7ABD">
      <w:pPr>
        <w:pStyle w:val="Caption"/>
        <w:keepNext/>
        <w:jc w:val="both"/>
      </w:pPr>
      <w:r>
        <w:t xml:space="preserve">Table </w:t>
      </w:r>
      <w:r w:rsidR="00F43849">
        <w:fldChar w:fldCharType="begin"/>
      </w:r>
      <w:r w:rsidR="00F43849">
        <w:instrText xml:space="preserve"> SEQ Table \* ARABIC </w:instrText>
      </w:r>
      <w:r w:rsidR="00F43849">
        <w:fldChar w:fldCharType="separate"/>
      </w:r>
      <w:r w:rsidR="00313950">
        <w:rPr>
          <w:noProof/>
        </w:rPr>
        <w:t>2</w:t>
      </w:r>
      <w:r w:rsidR="00F43849">
        <w:rPr>
          <w:noProof/>
        </w:rPr>
        <w:fldChar w:fldCharType="end"/>
      </w:r>
      <w:r>
        <w:t xml:space="preserve"> </w:t>
      </w:r>
      <w:r w:rsidRPr="00E2290F">
        <w:t>Results: TFA and PHO use and estimates of per capita TFA intake in Pakistan (2017)</w:t>
      </w:r>
    </w:p>
    <w:p w14:paraId="426AFECE" w14:textId="6BFBC196" w:rsidR="00D96C40" w:rsidRDefault="00AD763A" w:rsidP="00CA7ABD">
      <w:pPr>
        <w:jc w:val="both"/>
      </w:pPr>
      <w:r>
        <w:rPr>
          <w:noProof/>
        </w:rPr>
        <w:drawing>
          <wp:inline distT="0" distB="0" distL="0" distR="0" wp14:anchorId="517D98C7" wp14:editId="2EDA1EF7">
            <wp:extent cx="5827579" cy="22960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1486" cy="2305494"/>
                    </a:xfrm>
                    <a:prstGeom prst="rect">
                      <a:avLst/>
                    </a:prstGeom>
                    <a:noFill/>
                  </pic:spPr>
                </pic:pic>
              </a:graphicData>
            </a:graphic>
          </wp:inline>
        </w:drawing>
      </w:r>
    </w:p>
    <w:p w14:paraId="1AA88373" w14:textId="77777777" w:rsidR="00566BE1" w:rsidRDefault="00566BE1">
      <w:r>
        <w:br w:type="page"/>
      </w:r>
    </w:p>
    <w:p w14:paraId="00D259DB" w14:textId="4412A749" w:rsidR="006E38E0" w:rsidRDefault="006E38E0" w:rsidP="00CA7ABD">
      <w:pPr>
        <w:jc w:val="both"/>
      </w:pPr>
      <w:r>
        <w:t>It is further</w:t>
      </w:r>
      <w:r w:rsidRPr="006E38E0">
        <w:t xml:space="preserve"> estimated that</w:t>
      </w:r>
      <w:r w:rsidR="009B7BBE">
        <w:t>, from 2023-2026,</w:t>
      </w:r>
      <w:r>
        <w:t xml:space="preserve"> </w:t>
      </w:r>
      <w:r w:rsidRPr="006E38E0">
        <w:t xml:space="preserve">approximately </w:t>
      </w:r>
      <w:r w:rsidR="009B7BBE">
        <w:t>45,3</w:t>
      </w:r>
      <w:r w:rsidR="00EE1656">
        <w:t>79</w:t>
      </w:r>
      <w:r w:rsidRPr="006E38E0">
        <w:t xml:space="preserve"> deaths </w:t>
      </w:r>
      <w:r w:rsidR="009B7BBE">
        <w:t xml:space="preserve">attributable to </w:t>
      </w:r>
      <w:proofErr w:type="spellStart"/>
      <w:r w:rsidR="009B7BBE">
        <w:t>trans fat</w:t>
      </w:r>
      <w:proofErr w:type="spellEnd"/>
      <w:r w:rsidR="009B7BBE">
        <w:t xml:space="preserve"> </w:t>
      </w:r>
      <w:r w:rsidRPr="006E38E0">
        <w:t xml:space="preserve">could be prevented or postponed, which correspond to </w:t>
      </w:r>
      <w:r w:rsidR="00A41FEC">
        <w:t>preventing or postponing</w:t>
      </w:r>
      <w:r w:rsidRPr="006E38E0">
        <w:t xml:space="preserve"> </w:t>
      </w:r>
      <w:r w:rsidR="009B7BBE">
        <w:t>1,004,106</w:t>
      </w:r>
      <w:r w:rsidRPr="006E38E0">
        <w:t xml:space="preserve"> Years of Life Lost. The prevention or postponement of premature deaths, which have a significant impact on workforce productivity, </w:t>
      </w:r>
      <w:proofErr w:type="gramStart"/>
      <w:r w:rsidRPr="006E38E0">
        <w:t>correspond</w:t>
      </w:r>
      <w:proofErr w:type="gramEnd"/>
      <w:r w:rsidR="00D91BD2">
        <w:t xml:space="preserve"> </w:t>
      </w:r>
      <w:r w:rsidRPr="006E38E0">
        <w:t xml:space="preserve">to US$ </w:t>
      </w:r>
      <w:r w:rsidR="00A41FEC">
        <w:t>1.34</w:t>
      </w:r>
      <w:r w:rsidRPr="006E38E0">
        <w:t xml:space="preserve"> </w:t>
      </w:r>
      <w:r w:rsidR="00A41FEC">
        <w:t>b</w:t>
      </w:r>
      <w:r w:rsidRPr="006E38E0">
        <w:t xml:space="preserve">illion in savings to the economy </w:t>
      </w:r>
      <w:r w:rsidR="00A41FEC">
        <w:t>from prevented</w:t>
      </w:r>
      <w:r w:rsidRPr="006E38E0">
        <w:t xml:space="preserve"> premature deaths</w:t>
      </w:r>
      <w:r w:rsidR="00A41FEC">
        <w:t>.</w:t>
      </w:r>
    </w:p>
    <w:p w14:paraId="7F0F1962" w14:textId="77BE9AE8" w:rsidR="00EE1656" w:rsidRPr="00760335" w:rsidRDefault="00EE1656" w:rsidP="00CA7ABD">
      <w:pPr>
        <w:pStyle w:val="Caption"/>
        <w:keepNext/>
        <w:jc w:val="both"/>
        <w:rPr>
          <w:sz w:val="20"/>
          <w:szCs w:val="20"/>
        </w:rPr>
      </w:pPr>
      <w:r w:rsidRPr="00760335">
        <w:rPr>
          <w:sz w:val="20"/>
          <w:szCs w:val="20"/>
        </w:rPr>
        <w:t xml:space="preserve">Table </w:t>
      </w:r>
      <w:r w:rsidRPr="00760335">
        <w:rPr>
          <w:sz w:val="20"/>
          <w:szCs w:val="20"/>
        </w:rPr>
        <w:fldChar w:fldCharType="begin"/>
      </w:r>
      <w:r w:rsidRPr="00760335">
        <w:rPr>
          <w:sz w:val="20"/>
          <w:szCs w:val="20"/>
        </w:rPr>
        <w:instrText xml:space="preserve"> SEQ Table \* ARABIC </w:instrText>
      </w:r>
      <w:r w:rsidRPr="00760335">
        <w:rPr>
          <w:sz w:val="20"/>
          <w:szCs w:val="20"/>
        </w:rPr>
        <w:fldChar w:fldCharType="separate"/>
      </w:r>
      <w:r w:rsidR="00313950">
        <w:rPr>
          <w:noProof/>
          <w:sz w:val="20"/>
          <w:szCs w:val="20"/>
        </w:rPr>
        <w:t>3</w:t>
      </w:r>
      <w:r w:rsidRPr="00760335">
        <w:rPr>
          <w:sz w:val="20"/>
          <w:szCs w:val="20"/>
        </w:rPr>
        <w:fldChar w:fldCharType="end"/>
      </w:r>
      <w:r w:rsidRPr="00760335">
        <w:rPr>
          <w:sz w:val="20"/>
          <w:szCs w:val="20"/>
        </w:rPr>
        <w:t xml:space="preserve"> </w:t>
      </w:r>
      <w:r w:rsidR="00C73DBB" w:rsidRPr="00760335">
        <w:rPr>
          <w:sz w:val="20"/>
          <w:szCs w:val="20"/>
        </w:rPr>
        <w:t xml:space="preserve"> Estimated averted mortality </w:t>
      </w:r>
      <w:r w:rsidRPr="00760335">
        <w:rPr>
          <w:sz w:val="20"/>
          <w:szCs w:val="20"/>
        </w:rPr>
        <w:t xml:space="preserve">due to </w:t>
      </w:r>
      <w:proofErr w:type="spellStart"/>
      <w:r w:rsidRPr="00760335">
        <w:rPr>
          <w:sz w:val="20"/>
          <w:szCs w:val="20"/>
        </w:rPr>
        <w:t>trans fat</w:t>
      </w:r>
      <w:proofErr w:type="spellEnd"/>
      <w:r w:rsidRPr="00760335">
        <w:rPr>
          <w:sz w:val="20"/>
          <w:szCs w:val="20"/>
        </w:rPr>
        <w:t xml:space="preserve"> </w:t>
      </w:r>
      <w:r w:rsidR="00C73DBB" w:rsidRPr="00760335">
        <w:rPr>
          <w:sz w:val="20"/>
          <w:szCs w:val="20"/>
        </w:rPr>
        <w:t>replacement</w:t>
      </w:r>
      <w:r w:rsidR="00D91BD2" w:rsidRPr="00760335">
        <w:rPr>
          <w:sz w:val="20"/>
          <w:szCs w:val="20"/>
        </w:rPr>
        <w:t xml:space="preserve"> in Pakistan by age and gender</w:t>
      </w:r>
      <w:r w:rsidR="00C73DBB" w:rsidRPr="00760335">
        <w:rPr>
          <w:sz w:val="20"/>
          <w:szCs w:val="20"/>
        </w:rPr>
        <w:t xml:space="preserve"> (2023-2026)</w:t>
      </w:r>
    </w:p>
    <w:tbl>
      <w:tblPr>
        <w:tblStyle w:val="GridTable4-Accent3"/>
        <w:tblW w:w="7077" w:type="dxa"/>
        <w:tblLook w:val="04A0" w:firstRow="1" w:lastRow="0" w:firstColumn="1" w:lastColumn="0" w:noHBand="0" w:noVBand="1"/>
      </w:tblPr>
      <w:tblGrid>
        <w:gridCol w:w="2070"/>
        <w:gridCol w:w="2343"/>
        <w:gridCol w:w="1332"/>
        <w:gridCol w:w="1332"/>
      </w:tblGrid>
      <w:tr w:rsidR="00EE1656" w:rsidRPr="00EE1656" w14:paraId="318A6389" w14:textId="77777777" w:rsidTr="00B4123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B79127B"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color w:val="auto"/>
              </w:rPr>
              <w:t>Age</w:t>
            </w:r>
          </w:p>
        </w:tc>
        <w:tc>
          <w:tcPr>
            <w:tcW w:w="2343" w:type="dxa"/>
            <w:noWrap/>
            <w:hideMark/>
          </w:tcPr>
          <w:p w14:paraId="7EC6DCB6" w14:textId="77777777" w:rsidR="00EE1656" w:rsidRPr="00EE1656" w:rsidRDefault="00EE1656" w:rsidP="00CA7ABD">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Male</w:t>
            </w:r>
          </w:p>
        </w:tc>
        <w:tc>
          <w:tcPr>
            <w:tcW w:w="1332" w:type="dxa"/>
            <w:noWrap/>
            <w:hideMark/>
          </w:tcPr>
          <w:p w14:paraId="2E0E1EC4" w14:textId="77777777" w:rsidR="00EE1656" w:rsidRPr="00EE1656" w:rsidRDefault="00EE1656" w:rsidP="00CA7ABD">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Female</w:t>
            </w:r>
          </w:p>
        </w:tc>
        <w:tc>
          <w:tcPr>
            <w:tcW w:w="1332" w:type="dxa"/>
            <w:noWrap/>
            <w:hideMark/>
          </w:tcPr>
          <w:p w14:paraId="6EBF075D" w14:textId="77777777" w:rsidR="00EE1656" w:rsidRPr="00EE1656" w:rsidRDefault="00EE1656" w:rsidP="00CA7ABD">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Total</w:t>
            </w:r>
          </w:p>
        </w:tc>
      </w:tr>
      <w:tr w:rsidR="00EE1656" w:rsidRPr="00EE1656" w14:paraId="4A117E40"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25195636"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25-29 years</w:t>
            </w:r>
          </w:p>
        </w:tc>
        <w:tc>
          <w:tcPr>
            <w:tcW w:w="2343" w:type="dxa"/>
            <w:noWrap/>
            <w:hideMark/>
          </w:tcPr>
          <w:p w14:paraId="580D2E7B"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683</w:t>
            </w:r>
          </w:p>
        </w:tc>
        <w:tc>
          <w:tcPr>
            <w:tcW w:w="1332" w:type="dxa"/>
            <w:noWrap/>
            <w:hideMark/>
          </w:tcPr>
          <w:p w14:paraId="0CBD0EDC"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290</w:t>
            </w:r>
          </w:p>
        </w:tc>
        <w:tc>
          <w:tcPr>
            <w:tcW w:w="1332" w:type="dxa"/>
            <w:noWrap/>
            <w:hideMark/>
          </w:tcPr>
          <w:p w14:paraId="4BEFD028"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973</w:t>
            </w:r>
          </w:p>
        </w:tc>
      </w:tr>
      <w:tr w:rsidR="00EE1656" w:rsidRPr="00EE1656" w14:paraId="5C55A9A2" w14:textId="77777777" w:rsidTr="00B4123C">
        <w:trPr>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1C25306C"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30-34 years</w:t>
            </w:r>
          </w:p>
        </w:tc>
        <w:tc>
          <w:tcPr>
            <w:tcW w:w="2343" w:type="dxa"/>
            <w:noWrap/>
            <w:hideMark/>
          </w:tcPr>
          <w:p w14:paraId="59BF6A89"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1115</w:t>
            </w:r>
          </w:p>
        </w:tc>
        <w:tc>
          <w:tcPr>
            <w:tcW w:w="1332" w:type="dxa"/>
            <w:noWrap/>
            <w:hideMark/>
          </w:tcPr>
          <w:p w14:paraId="1F66F8AA"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540</w:t>
            </w:r>
          </w:p>
        </w:tc>
        <w:tc>
          <w:tcPr>
            <w:tcW w:w="1332" w:type="dxa"/>
            <w:noWrap/>
            <w:hideMark/>
          </w:tcPr>
          <w:p w14:paraId="4C5E6501"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1655</w:t>
            </w:r>
          </w:p>
        </w:tc>
      </w:tr>
      <w:tr w:rsidR="00EE1656" w:rsidRPr="00EE1656" w14:paraId="5BD2CC98"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5D59969F"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35-39 years</w:t>
            </w:r>
          </w:p>
        </w:tc>
        <w:tc>
          <w:tcPr>
            <w:tcW w:w="2343" w:type="dxa"/>
            <w:noWrap/>
            <w:hideMark/>
          </w:tcPr>
          <w:p w14:paraId="50F44BBF"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1541</w:t>
            </w:r>
          </w:p>
        </w:tc>
        <w:tc>
          <w:tcPr>
            <w:tcW w:w="1332" w:type="dxa"/>
            <w:noWrap/>
            <w:hideMark/>
          </w:tcPr>
          <w:p w14:paraId="470AAD23"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930</w:t>
            </w:r>
          </w:p>
        </w:tc>
        <w:tc>
          <w:tcPr>
            <w:tcW w:w="1332" w:type="dxa"/>
            <w:noWrap/>
            <w:hideMark/>
          </w:tcPr>
          <w:p w14:paraId="7FA0EDE1"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2471</w:t>
            </w:r>
          </w:p>
        </w:tc>
      </w:tr>
      <w:tr w:rsidR="00EE1656" w:rsidRPr="00EE1656" w14:paraId="053C0EEB" w14:textId="77777777" w:rsidTr="00B4123C">
        <w:trPr>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0FFC6CC"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40-44 years</w:t>
            </w:r>
          </w:p>
        </w:tc>
        <w:tc>
          <w:tcPr>
            <w:tcW w:w="2343" w:type="dxa"/>
            <w:noWrap/>
            <w:hideMark/>
          </w:tcPr>
          <w:p w14:paraId="2F7A694F"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1983</w:t>
            </w:r>
          </w:p>
        </w:tc>
        <w:tc>
          <w:tcPr>
            <w:tcW w:w="1332" w:type="dxa"/>
            <w:noWrap/>
            <w:hideMark/>
          </w:tcPr>
          <w:p w14:paraId="0626D671"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1203</w:t>
            </w:r>
          </w:p>
        </w:tc>
        <w:tc>
          <w:tcPr>
            <w:tcW w:w="1332" w:type="dxa"/>
            <w:noWrap/>
            <w:hideMark/>
          </w:tcPr>
          <w:p w14:paraId="1AFD5F41"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3186</w:t>
            </w:r>
          </w:p>
        </w:tc>
      </w:tr>
      <w:tr w:rsidR="00EE1656" w:rsidRPr="00EE1656" w14:paraId="290AAC91"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C14F9BA"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45-49 years</w:t>
            </w:r>
          </w:p>
        </w:tc>
        <w:tc>
          <w:tcPr>
            <w:tcW w:w="2343" w:type="dxa"/>
            <w:noWrap/>
            <w:hideMark/>
          </w:tcPr>
          <w:p w14:paraId="7BBD42C9"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2489</w:t>
            </w:r>
          </w:p>
        </w:tc>
        <w:tc>
          <w:tcPr>
            <w:tcW w:w="1332" w:type="dxa"/>
            <w:noWrap/>
            <w:hideMark/>
          </w:tcPr>
          <w:p w14:paraId="26B820B7"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1436</w:t>
            </w:r>
          </w:p>
        </w:tc>
        <w:tc>
          <w:tcPr>
            <w:tcW w:w="1332" w:type="dxa"/>
            <w:noWrap/>
            <w:hideMark/>
          </w:tcPr>
          <w:p w14:paraId="00CBE487"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3926</w:t>
            </w:r>
          </w:p>
        </w:tc>
      </w:tr>
      <w:tr w:rsidR="00EE1656" w:rsidRPr="00EE1656" w14:paraId="1BC939A3" w14:textId="77777777" w:rsidTr="00B4123C">
        <w:trPr>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198AFFE2"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50-54 years</w:t>
            </w:r>
          </w:p>
        </w:tc>
        <w:tc>
          <w:tcPr>
            <w:tcW w:w="2343" w:type="dxa"/>
            <w:noWrap/>
            <w:hideMark/>
          </w:tcPr>
          <w:p w14:paraId="048751D7"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2489</w:t>
            </w:r>
          </w:p>
        </w:tc>
        <w:tc>
          <w:tcPr>
            <w:tcW w:w="1332" w:type="dxa"/>
            <w:noWrap/>
            <w:hideMark/>
          </w:tcPr>
          <w:p w14:paraId="565B60EF"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1436</w:t>
            </w:r>
          </w:p>
        </w:tc>
        <w:tc>
          <w:tcPr>
            <w:tcW w:w="1332" w:type="dxa"/>
            <w:noWrap/>
            <w:hideMark/>
          </w:tcPr>
          <w:p w14:paraId="0AA29F62"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3926</w:t>
            </w:r>
          </w:p>
        </w:tc>
      </w:tr>
      <w:tr w:rsidR="00EE1656" w:rsidRPr="00EE1656" w14:paraId="14651C1B"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11B4DD30"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55-59 years</w:t>
            </w:r>
          </w:p>
        </w:tc>
        <w:tc>
          <w:tcPr>
            <w:tcW w:w="2343" w:type="dxa"/>
            <w:noWrap/>
            <w:hideMark/>
          </w:tcPr>
          <w:p w14:paraId="62962C0A"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3477</w:t>
            </w:r>
          </w:p>
        </w:tc>
        <w:tc>
          <w:tcPr>
            <w:tcW w:w="1332" w:type="dxa"/>
            <w:noWrap/>
            <w:hideMark/>
          </w:tcPr>
          <w:p w14:paraId="36245EEA"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1664</w:t>
            </w:r>
          </w:p>
        </w:tc>
        <w:tc>
          <w:tcPr>
            <w:tcW w:w="1332" w:type="dxa"/>
            <w:noWrap/>
            <w:hideMark/>
          </w:tcPr>
          <w:p w14:paraId="2C5A0456"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5141</w:t>
            </w:r>
          </w:p>
        </w:tc>
      </w:tr>
      <w:tr w:rsidR="00EE1656" w:rsidRPr="00EE1656" w14:paraId="1082A3A5" w14:textId="77777777" w:rsidTr="00B4123C">
        <w:trPr>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5F3E884"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60-64 years</w:t>
            </w:r>
          </w:p>
        </w:tc>
        <w:tc>
          <w:tcPr>
            <w:tcW w:w="2343" w:type="dxa"/>
            <w:noWrap/>
            <w:hideMark/>
          </w:tcPr>
          <w:p w14:paraId="792BC5F9"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3458</w:t>
            </w:r>
          </w:p>
        </w:tc>
        <w:tc>
          <w:tcPr>
            <w:tcW w:w="1332" w:type="dxa"/>
            <w:noWrap/>
            <w:hideMark/>
          </w:tcPr>
          <w:p w14:paraId="1F56E03D"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1805</w:t>
            </w:r>
          </w:p>
        </w:tc>
        <w:tc>
          <w:tcPr>
            <w:tcW w:w="1332" w:type="dxa"/>
            <w:noWrap/>
            <w:hideMark/>
          </w:tcPr>
          <w:p w14:paraId="62E54486"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5264</w:t>
            </w:r>
          </w:p>
        </w:tc>
      </w:tr>
      <w:tr w:rsidR="00EE1656" w:rsidRPr="00EE1656" w14:paraId="0F0A01BC"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ECCB80B"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65-69 years</w:t>
            </w:r>
          </w:p>
        </w:tc>
        <w:tc>
          <w:tcPr>
            <w:tcW w:w="2343" w:type="dxa"/>
            <w:noWrap/>
            <w:hideMark/>
          </w:tcPr>
          <w:p w14:paraId="0EBD8CAA"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2878</w:t>
            </w:r>
          </w:p>
        </w:tc>
        <w:tc>
          <w:tcPr>
            <w:tcW w:w="1332" w:type="dxa"/>
            <w:noWrap/>
            <w:hideMark/>
          </w:tcPr>
          <w:p w14:paraId="18CA033E"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1841</w:t>
            </w:r>
          </w:p>
        </w:tc>
        <w:tc>
          <w:tcPr>
            <w:tcW w:w="1332" w:type="dxa"/>
            <w:noWrap/>
            <w:hideMark/>
          </w:tcPr>
          <w:p w14:paraId="18EB1ED1"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4718</w:t>
            </w:r>
          </w:p>
        </w:tc>
      </w:tr>
      <w:tr w:rsidR="00EE1656" w:rsidRPr="00EE1656" w14:paraId="007C293A" w14:textId="77777777" w:rsidTr="00B4123C">
        <w:trPr>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DF1398E"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70-74 years</w:t>
            </w:r>
          </w:p>
        </w:tc>
        <w:tc>
          <w:tcPr>
            <w:tcW w:w="2343" w:type="dxa"/>
            <w:noWrap/>
            <w:hideMark/>
          </w:tcPr>
          <w:p w14:paraId="7A39AF29"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2631</w:t>
            </w:r>
          </w:p>
        </w:tc>
        <w:tc>
          <w:tcPr>
            <w:tcW w:w="1332" w:type="dxa"/>
            <w:noWrap/>
            <w:hideMark/>
          </w:tcPr>
          <w:p w14:paraId="1201A90A"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1673</w:t>
            </w:r>
          </w:p>
        </w:tc>
        <w:tc>
          <w:tcPr>
            <w:tcW w:w="1332" w:type="dxa"/>
            <w:noWrap/>
            <w:hideMark/>
          </w:tcPr>
          <w:p w14:paraId="64BEA2E5"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4304</w:t>
            </w:r>
          </w:p>
        </w:tc>
      </w:tr>
      <w:tr w:rsidR="00EE1656" w:rsidRPr="00EE1656" w14:paraId="58540291"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3646371D"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75-79 years</w:t>
            </w:r>
          </w:p>
        </w:tc>
        <w:tc>
          <w:tcPr>
            <w:tcW w:w="2343" w:type="dxa"/>
            <w:noWrap/>
            <w:hideMark/>
          </w:tcPr>
          <w:p w14:paraId="3EBD3159"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2105</w:t>
            </w:r>
          </w:p>
        </w:tc>
        <w:tc>
          <w:tcPr>
            <w:tcW w:w="1332" w:type="dxa"/>
            <w:noWrap/>
            <w:hideMark/>
          </w:tcPr>
          <w:p w14:paraId="7B1AF227"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1575</w:t>
            </w:r>
          </w:p>
        </w:tc>
        <w:tc>
          <w:tcPr>
            <w:tcW w:w="1332" w:type="dxa"/>
            <w:noWrap/>
            <w:hideMark/>
          </w:tcPr>
          <w:p w14:paraId="53C8C5AB"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3679</w:t>
            </w:r>
          </w:p>
        </w:tc>
      </w:tr>
      <w:tr w:rsidR="00EE1656" w:rsidRPr="00EE1656" w14:paraId="17AD7D3A" w14:textId="77777777" w:rsidTr="00B4123C">
        <w:trPr>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29F35F86"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80-84 years</w:t>
            </w:r>
          </w:p>
        </w:tc>
        <w:tc>
          <w:tcPr>
            <w:tcW w:w="2343" w:type="dxa"/>
            <w:noWrap/>
            <w:hideMark/>
          </w:tcPr>
          <w:p w14:paraId="78A47244"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1744</w:t>
            </w:r>
          </w:p>
        </w:tc>
        <w:tc>
          <w:tcPr>
            <w:tcW w:w="1332" w:type="dxa"/>
            <w:noWrap/>
            <w:hideMark/>
          </w:tcPr>
          <w:p w14:paraId="57C08BB2"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4391</w:t>
            </w:r>
          </w:p>
        </w:tc>
        <w:tc>
          <w:tcPr>
            <w:tcW w:w="1332" w:type="dxa"/>
            <w:noWrap/>
            <w:hideMark/>
          </w:tcPr>
          <w:p w14:paraId="10BC0236" w14:textId="77777777" w:rsidR="00EE1656" w:rsidRPr="00EE1656" w:rsidRDefault="00EE1656"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6134</w:t>
            </w:r>
          </w:p>
        </w:tc>
      </w:tr>
      <w:tr w:rsidR="00EE1656" w:rsidRPr="00EE1656" w14:paraId="131C5B0D" w14:textId="77777777" w:rsidTr="00B412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5A9E8F8" w14:textId="77777777" w:rsidR="00EE1656" w:rsidRPr="00EE1656" w:rsidRDefault="00EE1656" w:rsidP="00CA7ABD">
            <w:pPr>
              <w:jc w:val="both"/>
              <w:rPr>
                <w:rFonts w:ascii="Calibri" w:eastAsia="Times New Roman" w:hAnsi="Calibri" w:cs="Calibri"/>
              </w:rPr>
            </w:pPr>
            <w:r w:rsidRPr="00EE1656">
              <w:rPr>
                <w:rFonts w:ascii="Calibri" w:eastAsia="Times New Roman" w:hAnsi="Calibri" w:cs="Calibri"/>
              </w:rPr>
              <w:t>All ages</w:t>
            </w:r>
          </w:p>
        </w:tc>
        <w:tc>
          <w:tcPr>
            <w:tcW w:w="2343" w:type="dxa"/>
            <w:noWrap/>
            <w:hideMark/>
          </w:tcPr>
          <w:p w14:paraId="125B5633"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26593</w:t>
            </w:r>
          </w:p>
        </w:tc>
        <w:tc>
          <w:tcPr>
            <w:tcW w:w="1332" w:type="dxa"/>
            <w:noWrap/>
            <w:hideMark/>
          </w:tcPr>
          <w:p w14:paraId="5506AFC7"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18785</w:t>
            </w:r>
          </w:p>
        </w:tc>
        <w:tc>
          <w:tcPr>
            <w:tcW w:w="1332" w:type="dxa"/>
            <w:noWrap/>
            <w:hideMark/>
          </w:tcPr>
          <w:p w14:paraId="7C92498B" w14:textId="77777777" w:rsidR="00EE1656" w:rsidRPr="00EE1656" w:rsidRDefault="00EE1656"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656">
              <w:rPr>
                <w:rFonts w:ascii="Calibri" w:eastAsia="Times New Roman" w:hAnsi="Calibri" w:cs="Calibri"/>
                <w:color w:val="000000"/>
              </w:rPr>
              <w:t>45379</w:t>
            </w:r>
          </w:p>
        </w:tc>
      </w:tr>
    </w:tbl>
    <w:p w14:paraId="11A0846E" w14:textId="70F6946C" w:rsidR="00A41FEC" w:rsidRDefault="00A41FEC" w:rsidP="00CA7ABD">
      <w:pPr>
        <w:jc w:val="both"/>
      </w:pPr>
    </w:p>
    <w:p w14:paraId="3EA8F024" w14:textId="7211671F" w:rsidR="00D91BD2" w:rsidRDefault="00D91BD2" w:rsidP="00CA7ABD">
      <w:pPr>
        <w:jc w:val="both"/>
      </w:pPr>
    </w:p>
    <w:p w14:paraId="35C859C1" w14:textId="12AD80A3" w:rsidR="00D91BD2" w:rsidRPr="00760335" w:rsidRDefault="00D91BD2" w:rsidP="00CA7ABD">
      <w:pPr>
        <w:pStyle w:val="Caption"/>
        <w:keepNext/>
        <w:jc w:val="both"/>
        <w:rPr>
          <w:sz w:val="20"/>
          <w:szCs w:val="20"/>
        </w:rPr>
      </w:pPr>
      <w:r w:rsidRPr="00760335">
        <w:rPr>
          <w:sz w:val="20"/>
          <w:szCs w:val="20"/>
        </w:rPr>
        <w:t xml:space="preserve">Table </w:t>
      </w:r>
      <w:r w:rsidRPr="00760335">
        <w:rPr>
          <w:sz w:val="20"/>
          <w:szCs w:val="20"/>
        </w:rPr>
        <w:fldChar w:fldCharType="begin"/>
      </w:r>
      <w:r w:rsidRPr="00760335">
        <w:rPr>
          <w:sz w:val="20"/>
          <w:szCs w:val="20"/>
        </w:rPr>
        <w:instrText xml:space="preserve"> SEQ Table \* ARABIC </w:instrText>
      </w:r>
      <w:r w:rsidRPr="00760335">
        <w:rPr>
          <w:sz w:val="20"/>
          <w:szCs w:val="20"/>
        </w:rPr>
        <w:fldChar w:fldCharType="separate"/>
      </w:r>
      <w:r w:rsidR="00313950">
        <w:rPr>
          <w:noProof/>
          <w:sz w:val="20"/>
          <w:szCs w:val="20"/>
        </w:rPr>
        <w:t>4</w:t>
      </w:r>
      <w:r w:rsidRPr="00760335">
        <w:rPr>
          <w:sz w:val="20"/>
          <w:szCs w:val="20"/>
        </w:rPr>
        <w:fldChar w:fldCharType="end"/>
      </w:r>
      <w:r w:rsidRPr="00760335">
        <w:rPr>
          <w:sz w:val="20"/>
          <w:szCs w:val="20"/>
        </w:rPr>
        <w:t xml:space="preserve"> Estimated savings in losses of productivity due to TFA replacement in Pakistan (2023-2026)</w:t>
      </w:r>
    </w:p>
    <w:tbl>
      <w:tblPr>
        <w:tblStyle w:val="GridTable4-Accent3"/>
        <w:tblW w:w="7101" w:type="dxa"/>
        <w:tblLook w:val="04A0" w:firstRow="1" w:lastRow="0" w:firstColumn="1" w:lastColumn="0" w:noHBand="0" w:noVBand="1"/>
      </w:tblPr>
      <w:tblGrid>
        <w:gridCol w:w="1596"/>
        <w:gridCol w:w="1933"/>
        <w:gridCol w:w="1702"/>
        <w:gridCol w:w="1870"/>
      </w:tblGrid>
      <w:tr w:rsidR="00D91BD2" w:rsidRPr="00D91BD2" w14:paraId="2F2C9D31" w14:textId="77777777" w:rsidTr="00B4123C">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7412FC31"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Age</w:t>
            </w:r>
          </w:p>
        </w:tc>
        <w:tc>
          <w:tcPr>
            <w:tcW w:w="1933" w:type="dxa"/>
            <w:noWrap/>
            <w:hideMark/>
          </w:tcPr>
          <w:p w14:paraId="1761D8D7" w14:textId="77777777" w:rsidR="00D91BD2" w:rsidRPr="00D91BD2" w:rsidRDefault="00D91BD2" w:rsidP="00CA7ABD">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Male</w:t>
            </w:r>
          </w:p>
        </w:tc>
        <w:tc>
          <w:tcPr>
            <w:tcW w:w="1702" w:type="dxa"/>
            <w:noWrap/>
            <w:hideMark/>
          </w:tcPr>
          <w:p w14:paraId="1FC87F75" w14:textId="77777777" w:rsidR="00D91BD2" w:rsidRPr="00D91BD2" w:rsidRDefault="00D91BD2" w:rsidP="00CA7ABD">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Female</w:t>
            </w:r>
          </w:p>
        </w:tc>
        <w:tc>
          <w:tcPr>
            <w:tcW w:w="1870" w:type="dxa"/>
            <w:noWrap/>
            <w:hideMark/>
          </w:tcPr>
          <w:p w14:paraId="69CE6CB0" w14:textId="77777777" w:rsidR="00D91BD2" w:rsidRPr="00D91BD2" w:rsidRDefault="00D91BD2" w:rsidP="00CA7ABD">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Total</w:t>
            </w:r>
          </w:p>
        </w:tc>
      </w:tr>
      <w:tr w:rsidR="00D91BD2" w:rsidRPr="00D91BD2" w14:paraId="06629B07" w14:textId="77777777" w:rsidTr="00B4123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5D9720F0"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25-29 years</w:t>
            </w:r>
          </w:p>
        </w:tc>
        <w:tc>
          <w:tcPr>
            <w:tcW w:w="1933" w:type="dxa"/>
            <w:noWrap/>
            <w:hideMark/>
          </w:tcPr>
          <w:p w14:paraId="09D7839D" w14:textId="3BB402BE"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77,279,668</w:t>
            </w:r>
          </w:p>
        </w:tc>
        <w:tc>
          <w:tcPr>
            <w:tcW w:w="1702" w:type="dxa"/>
            <w:noWrap/>
            <w:hideMark/>
          </w:tcPr>
          <w:p w14:paraId="2BE0CB25" w14:textId="60B61A3D"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8,086,427</w:t>
            </w:r>
          </w:p>
        </w:tc>
        <w:tc>
          <w:tcPr>
            <w:tcW w:w="1870" w:type="dxa"/>
            <w:noWrap/>
            <w:hideMark/>
          </w:tcPr>
          <w:p w14:paraId="69DE0B41" w14:textId="7D7A0FB1"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85,366,095</w:t>
            </w:r>
          </w:p>
        </w:tc>
      </w:tr>
      <w:tr w:rsidR="00D91BD2" w:rsidRPr="00D91BD2" w14:paraId="24573F90" w14:textId="77777777" w:rsidTr="00B4123C">
        <w:trPr>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0FE209ED"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30-34 years</w:t>
            </w:r>
          </w:p>
        </w:tc>
        <w:tc>
          <w:tcPr>
            <w:tcW w:w="1933" w:type="dxa"/>
            <w:noWrap/>
            <w:hideMark/>
          </w:tcPr>
          <w:p w14:paraId="6DA38D48" w14:textId="299BF7C9"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111,292,070</w:t>
            </w:r>
          </w:p>
        </w:tc>
        <w:tc>
          <w:tcPr>
            <w:tcW w:w="1702" w:type="dxa"/>
            <w:noWrap/>
            <w:hideMark/>
          </w:tcPr>
          <w:p w14:paraId="366FE83C" w14:textId="73AEF8FF"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8,927,222</w:t>
            </w:r>
          </w:p>
        </w:tc>
        <w:tc>
          <w:tcPr>
            <w:tcW w:w="1870" w:type="dxa"/>
            <w:noWrap/>
            <w:hideMark/>
          </w:tcPr>
          <w:p w14:paraId="7E2D20FB" w14:textId="201941B8"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120,219,292</w:t>
            </w:r>
          </w:p>
        </w:tc>
      </w:tr>
      <w:tr w:rsidR="00D91BD2" w:rsidRPr="00D91BD2" w14:paraId="23141D69" w14:textId="77777777" w:rsidTr="00B4123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422E2CE3"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35-39 years</w:t>
            </w:r>
          </w:p>
        </w:tc>
        <w:tc>
          <w:tcPr>
            <w:tcW w:w="1933" w:type="dxa"/>
            <w:noWrap/>
            <w:hideMark/>
          </w:tcPr>
          <w:p w14:paraId="007CD570" w14:textId="4E620AC2"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147,563,084</w:t>
            </w:r>
          </w:p>
        </w:tc>
        <w:tc>
          <w:tcPr>
            <w:tcW w:w="1702" w:type="dxa"/>
            <w:noWrap/>
            <w:hideMark/>
          </w:tcPr>
          <w:p w14:paraId="5014DC6A" w14:textId="14C5EA74"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13,917,934</w:t>
            </w:r>
          </w:p>
        </w:tc>
        <w:tc>
          <w:tcPr>
            <w:tcW w:w="1870" w:type="dxa"/>
            <w:noWrap/>
            <w:hideMark/>
          </w:tcPr>
          <w:p w14:paraId="4B58A739" w14:textId="71EEDC31"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161,481,018</w:t>
            </w:r>
          </w:p>
        </w:tc>
      </w:tr>
      <w:tr w:rsidR="00D91BD2" w:rsidRPr="00D91BD2" w14:paraId="0167834F" w14:textId="77777777" w:rsidTr="00B4123C">
        <w:trPr>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55B9079B"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40-44 years</w:t>
            </w:r>
          </w:p>
        </w:tc>
        <w:tc>
          <w:tcPr>
            <w:tcW w:w="1933" w:type="dxa"/>
            <w:noWrap/>
            <w:hideMark/>
          </w:tcPr>
          <w:p w14:paraId="3665A392" w14:textId="68778086"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172,015,055</w:t>
            </w:r>
          </w:p>
        </w:tc>
        <w:tc>
          <w:tcPr>
            <w:tcW w:w="1702" w:type="dxa"/>
            <w:noWrap/>
            <w:hideMark/>
          </w:tcPr>
          <w:p w14:paraId="7440DED8" w14:textId="1B37198A"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18,182,289</w:t>
            </w:r>
          </w:p>
        </w:tc>
        <w:tc>
          <w:tcPr>
            <w:tcW w:w="1870" w:type="dxa"/>
            <w:noWrap/>
            <w:hideMark/>
          </w:tcPr>
          <w:p w14:paraId="77B1F741" w14:textId="1F6D38CF"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190,197,344</w:t>
            </w:r>
          </w:p>
        </w:tc>
      </w:tr>
      <w:tr w:rsidR="00D91BD2" w:rsidRPr="00D91BD2" w14:paraId="4AD76BED" w14:textId="77777777" w:rsidTr="00B4123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7B252990"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45-49 years</w:t>
            </w:r>
          </w:p>
        </w:tc>
        <w:tc>
          <w:tcPr>
            <w:tcW w:w="1933" w:type="dxa"/>
            <w:noWrap/>
            <w:hideMark/>
          </w:tcPr>
          <w:p w14:paraId="5BB87E89" w14:textId="10F5718E"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194,383,185</w:t>
            </w:r>
          </w:p>
        </w:tc>
        <w:tc>
          <w:tcPr>
            <w:tcW w:w="1702" w:type="dxa"/>
            <w:noWrap/>
            <w:hideMark/>
          </w:tcPr>
          <w:p w14:paraId="4FDB3180" w14:textId="555EE466"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24,474,233</w:t>
            </w:r>
          </w:p>
        </w:tc>
        <w:tc>
          <w:tcPr>
            <w:tcW w:w="1870" w:type="dxa"/>
            <w:noWrap/>
            <w:hideMark/>
          </w:tcPr>
          <w:p w14:paraId="2706CC46" w14:textId="53AFFC35"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218,857,418</w:t>
            </w:r>
          </w:p>
        </w:tc>
      </w:tr>
      <w:tr w:rsidR="00D91BD2" w:rsidRPr="00D91BD2" w14:paraId="0638BB0E" w14:textId="77777777" w:rsidTr="00B4123C">
        <w:trPr>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45543C6A"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50-54 years</w:t>
            </w:r>
          </w:p>
        </w:tc>
        <w:tc>
          <w:tcPr>
            <w:tcW w:w="1933" w:type="dxa"/>
            <w:noWrap/>
            <w:hideMark/>
          </w:tcPr>
          <w:p w14:paraId="4B9E75C4" w14:textId="2EAB3D60"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224,391,433</w:t>
            </w:r>
          </w:p>
        </w:tc>
        <w:tc>
          <w:tcPr>
            <w:tcW w:w="1702" w:type="dxa"/>
            <w:noWrap/>
            <w:hideMark/>
          </w:tcPr>
          <w:p w14:paraId="1918B014" w14:textId="0E941BA5"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29,590,030</w:t>
            </w:r>
          </w:p>
        </w:tc>
        <w:tc>
          <w:tcPr>
            <w:tcW w:w="1870" w:type="dxa"/>
            <w:noWrap/>
            <w:hideMark/>
          </w:tcPr>
          <w:p w14:paraId="6327BADE" w14:textId="74CB2A29"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253,981,462</w:t>
            </w:r>
          </w:p>
        </w:tc>
      </w:tr>
      <w:tr w:rsidR="00D91BD2" w:rsidRPr="00D91BD2" w14:paraId="53BEDE68" w14:textId="77777777" w:rsidTr="00B4123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496CCAD9"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55-59 years</w:t>
            </w:r>
          </w:p>
        </w:tc>
        <w:tc>
          <w:tcPr>
            <w:tcW w:w="1933" w:type="dxa"/>
            <w:noWrap/>
            <w:hideMark/>
          </w:tcPr>
          <w:p w14:paraId="6DAEBA99" w14:textId="50033C16"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153,665,495</w:t>
            </w:r>
          </w:p>
        </w:tc>
        <w:tc>
          <w:tcPr>
            <w:tcW w:w="1702" w:type="dxa"/>
            <w:noWrap/>
            <w:hideMark/>
          </w:tcPr>
          <w:p w14:paraId="633982A1" w14:textId="51949093"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14,672,941</w:t>
            </w:r>
          </w:p>
        </w:tc>
        <w:tc>
          <w:tcPr>
            <w:tcW w:w="1870" w:type="dxa"/>
            <w:noWrap/>
            <w:hideMark/>
          </w:tcPr>
          <w:p w14:paraId="30554EDA" w14:textId="4F1D14B4"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168,338,436</w:t>
            </w:r>
          </w:p>
        </w:tc>
      </w:tr>
      <w:tr w:rsidR="00D91BD2" w:rsidRPr="00D91BD2" w14:paraId="7101FAFF" w14:textId="77777777" w:rsidTr="00B4123C">
        <w:trPr>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5C67141F" w14:textId="77777777"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60-64 years</w:t>
            </w:r>
          </w:p>
        </w:tc>
        <w:tc>
          <w:tcPr>
            <w:tcW w:w="1933" w:type="dxa"/>
            <w:noWrap/>
            <w:hideMark/>
          </w:tcPr>
          <w:p w14:paraId="797BC904" w14:textId="669FBFC3"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126,742,124</w:t>
            </w:r>
          </w:p>
        </w:tc>
        <w:tc>
          <w:tcPr>
            <w:tcW w:w="1702" w:type="dxa"/>
            <w:noWrap/>
            <w:hideMark/>
          </w:tcPr>
          <w:p w14:paraId="1CDBA3E7" w14:textId="4128D0BB"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15,439,118</w:t>
            </w:r>
          </w:p>
        </w:tc>
        <w:tc>
          <w:tcPr>
            <w:tcW w:w="1870" w:type="dxa"/>
            <w:noWrap/>
            <w:hideMark/>
          </w:tcPr>
          <w:p w14:paraId="312B9BBA" w14:textId="03CA3B57" w:rsidR="00D91BD2" w:rsidRPr="00D91BD2" w:rsidRDefault="00D91BD2" w:rsidP="00CA7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142,181,242</w:t>
            </w:r>
          </w:p>
        </w:tc>
      </w:tr>
      <w:tr w:rsidR="00D91BD2" w:rsidRPr="00D91BD2" w14:paraId="2CDACC0E" w14:textId="77777777" w:rsidTr="00B4123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96" w:type="dxa"/>
            <w:noWrap/>
            <w:hideMark/>
          </w:tcPr>
          <w:p w14:paraId="7406ECF6" w14:textId="0053286A" w:rsidR="00D91BD2" w:rsidRPr="00D91BD2" w:rsidRDefault="00D91BD2" w:rsidP="00CA7ABD">
            <w:pPr>
              <w:jc w:val="both"/>
              <w:rPr>
                <w:rFonts w:ascii="Calibri" w:eastAsia="Times New Roman" w:hAnsi="Calibri" w:cs="Calibri"/>
                <w:color w:val="000000"/>
              </w:rPr>
            </w:pPr>
            <w:r w:rsidRPr="00D91BD2">
              <w:rPr>
                <w:rFonts w:ascii="Calibri" w:eastAsia="Times New Roman" w:hAnsi="Calibri" w:cs="Calibri"/>
                <w:color w:val="000000"/>
              </w:rPr>
              <w:t>All ages</w:t>
            </w:r>
          </w:p>
        </w:tc>
        <w:tc>
          <w:tcPr>
            <w:tcW w:w="1933" w:type="dxa"/>
            <w:noWrap/>
            <w:hideMark/>
          </w:tcPr>
          <w:p w14:paraId="48BDA1F6" w14:textId="2FDE65B9"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1,207,332,114</w:t>
            </w:r>
          </w:p>
        </w:tc>
        <w:tc>
          <w:tcPr>
            <w:tcW w:w="1702" w:type="dxa"/>
            <w:noWrap/>
            <w:hideMark/>
          </w:tcPr>
          <w:p w14:paraId="2DFB394E" w14:textId="1D75B4FC"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133,290,193</w:t>
            </w:r>
          </w:p>
        </w:tc>
        <w:tc>
          <w:tcPr>
            <w:tcW w:w="1870" w:type="dxa"/>
            <w:noWrap/>
            <w:hideMark/>
          </w:tcPr>
          <w:p w14:paraId="19D21E22" w14:textId="4FAE6315" w:rsidR="00D91BD2" w:rsidRPr="00D91BD2" w:rsidRDefault="00D91BD2" w:rsidP="00CA7AB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91BD2">
              <w:rPr>
                <w:rFonts w:ascii="Calibri" w:eastAsia="Times New Roman" w:hAnsi="Calibri" w:cs="Calibri"/>
                <w:color w:val="000000"/>
              </w:rPr>
              <w:t>1,340,622,307</w:t>
            </w:r>
          </w:p>
        </w:tc>
      </w:tr>
    </w:tbl>
    <w:p w14:paraId="61267C31" w14:textId="7EBE5867" w:rsidR="00B4123C" w:rsidRDefault="00B4123C" w:rsidP="00CA7ABD">
      <w:pPr>
        <w:jc w:val="both"/>
      </w:pPr>
    </w:p>
    <w:p w14:paraId="67527268" w14:textId="77777777" w:rsidR="00B4123C" w:rsidRDefault="00B4123C">
      <w:r>
        <w:br w:type="page"/>
      </w:r>
    </w:p>
    <w:p w14:paraId="240569F3" w14:textId="77777777" w:rsidR="00C73DBB" w:rsidRDefault="00C73DBB" w:rsidP="00CA7ABD">
      <w:pPr>
        <w:jc w:val="both"/>
      </w:pPr>
    </w:p>
    <w:p w14:paraId="55CA919A" w14:textId="60FBFDE2" w:rsidR="00313950" w:rsidRPr="00313950" w:rsidRDefault="00313950" w:rsidP="00313950">
      <w:pPr>
        <w:pStyle w:val="Caption"/>
        <w:keepNext/>
        <w:rPr>
          <w:sz w:val="20"/>
          <w:szCs w:val="20"/>
        </w:rPr>
      </w:pPr>
      <w:r w:rsidRPr="00313950">
        <w:rPr>
          <w:sz w:val="20"/>
          <w:szCs w:val="20"/>
        </w:rPr>
        <w:t xml:space="preserve">Table </w:t>
      </w:r>
      <w:r w:rsidRPr="00313950">
        <w:rPr>
          <w:sz w:val="20"/>
          <w:szCs w:val="20"/>
        </w:rPr>
        <w:fldChar w:fldCharType="begin"/>
      </w:r>
      <w:r w:rsidRPr="00313950">
        <w:rPr>
          <w:sz w:val="20"/>
          <w:szCs w:val="20"/>
        </w:rPr>
        <w:instrText xml:space="preserve"> SEQ Table \* ARABIC </w:instrText>
      </w:r>
      <w:r w:rsidRPr="00313950">
        <w:rPr>
          <w:sz w:val="20"/>
          <w:szCs w:val="20"/>
        </w:rPr>
        <w:fldChar w:fldCharType="separate"/>
      </w:r>
      <w:r w:rsidRPr="00313950">
        <w:rPr>
          <w:noProof/>
          <w:sz w:val="20"/>
          <w:szCs w:val="20"/>
        </w:rPr>
        <w:t>5</w:t>
      </w:r>
      <w:r w:rsidRPr="00313950">
        <w:rPr>
          <w:sz w:val="20"/>
          <w:szCs w:val="20"/>
        </w:rPr>
        <w:fldChar w:fldCharType="end"/>
      </w:r>
      <w:r w:rsidR="00B4123C">
        <w:rPr>
          <w:sz w:val="20"/>
          <w:szCs w:val="20"/>
        </w:rPr>
        <w:t>:</w:t>
      </w:r>
      <w:r w:rsidRPr="00313950">
        <w:rPr>
          <w:sz w:val="20"/>
          <w:szCs w:val="20"/>
        </w:rPr>
        <w:t xml:space="preserve"> Savings in productivity losses due to </w:t>
      </w:r>
      <w:proofErr w:type="spellStart"/>
      <w:r w:rsidRPr="00313950">
        <w:rPr>
          <w:sz w:val="20"/>
          <w:szCs w:val="20"/>
        </w:rPr>
        <w:t>trans fat</w:t>
      </w:r>
      <w:proofErr w:type="spellEnd"/>
      <w:r w:rsidRPr="00313950">
        <w:rPr>
          <w:sz w:val="20"/>
          <w:szCs w:val="20"/>
        </w:rPr>
        <w:t xml:space="preserve"> elimination by age group in Pakistan from 2023-2026 (Males)</w:t>
      </w:r>
    </w:p>
    <w:tbl>
      <w:tblPr>
        <w:tblStyle w:val="PlainTable1"/>
        <w:tblW w:w="7960" w:type="dxa"/>
        <w:tblLook w:val="0400" w:firstRow="0" w:lastRow="0" w:firstColumn="0" w:lastColumn="0" w:noHBand="0" w:noVBand="1"/>
      </w:tblPr>
      <w:tblGrid>
        <w:gridCol w:w="1691"/>
        <w:gridCol w:w="1577"/>
        <w:gridCol w:w="1538"/>
        <w:gridCol w:w="1577"/>
        <w:gridCol w:w="1577"/>
      </w:tblGrid>
      <w:tr w:rsidR="00313950" w:rsidRPr="00313950" w14:paraId="482E585B" w14:textId="77777777" w:rsidTr="00313950">
        <w:trPr>
          <w:cnfStyle w:val="000000100000" w:firstRow="0" w:lastRow="0" w:firstColumn="0" w:lastColumn="0" w:oddVBand="0" w:evenVBand="0" w:oddHBand="1" w:evenHBand="0" w:firstRowFirstColumn="0" w:firstRowLastColumn="0" w:lastRowFirstColumn="0" w:lastRowLastColumn="0"/>
          <w:trHeight w:val="314"/>
        </w:trPr>
        <w:tc>
          <w:tcPr>
            <w:tcW w:w="1691" w:type="dxa"/>
            <w:shd w:val="clear" w:color="auto" w:fill="A6A6A6" w:themeFill="background1" w:themeFillShade="A6"/>
            <w:hideMark/>
          </w:tcPr>
          <w:p w14:paraId="6DF33F9E" w14:textId="77777777" w:rsidR="00313950" w:rsidRPr="00313950" w:rsidRDefault="00313950" w:rsidP="00313950">
            <w:pPr>
              <w:spacing w:after="160" w:line="259" w:lineRule="auto"/>
              <w:jc w:val="both"/>
              <w:rPr>
                <w:b/>
                <w:bCs/>
              </w:rPr>
            </w:pPr>
            <w:r w:rsidRPr="00313950">
              <w:rPr>
                <w:b/>
                <w:bCs/>
              </w:rPr>
              <w:t>Age</w:t>
            </w:r>
          </w:p>
        </w:tc>
        <w:tc>
          <w:tcPr>
            <w:tcW w:w="1577" w:type="dxa"/>
            <w:shd w:val="clear" w:color="auto" w:fill="A6A6A6" w:themeFill="background1" w:themeFillShade="A6"/>
            <w:hideMark/>
          </w:tcPr>
          <w:p w14:paraId="27DC7B06" w14:textId="77777777" w:rsidR="00313950" w:rsidRPr="00313950" w:rsidRDefault="00313950" w:rsidP="00313950">
            <w:pPr>
              <w:spacing w:after="160" w:line="259" w:lineRule="auto"/>
              <w:jc w:val="both"/>
              <w:rPr>
                <w:b/>
                <w:bCs/>
              </w:rPr>
            </w:pPr>
            <w:r w:rsidRPr="00313950">
              <w:rPr>
                <w:b/>
                <w:bCs/>
              </w:rPr>
              <w:t>2023</w:t>
            </w:r>
          </w:p>
        </w:tc>
        <w:tc>
          <w:tcPr>
            <w:tcW w:w="1538" w:type="dxa"/>
            <w:shd w:val="clear" w:color="auto" w:fill="A6A6A6" w:themeFill="background1" w:themeFillShade="A6"/>
            <w:hideMark/>
          </w:tcPr>
          <w:p w14:paraId="50685AF0" w14:textId="77777777" w:rsidR="00313950" w:rsidRPr="00313950" w:rsidRDefault="00313950" w:rsidP="00313950">
            <w:pPr>
              <w:spacing w:after="160" w:line="259" w:lineRule="auto"/>
              <w:jc w:val="both"/>
              <w:rPr>
                <w:b/>
                <w:bCs/>
              </w:rPr>
            </w:pPr>
            <w:r w:rsidRPr="00313950">
              <w:rPr>
                <w:b/>
                <w:bCs/>
              </w:rPr>
              <w:t>2024</w:t>
            </w:r>
          </w:p>
        </w:tc>
        <w:tc>
          <w:tcPr>
            <w:tcW w:w="1577" w:type="dxa"/>
            <w:shd w:val="clear" w:color="auto" w:fill="A6A6A6" w:themeFill="background1" w:themeFillShade="A6"/>
            <w:hideMark/>
          </w:tcPr>
          <w:p w14:paraId="4E758726" w14:textId="77777777" w:rsidR="00313950" w:rsidRPr="00313950" w:rsidRDefault="00313950" w:rsidP="00313950">
            <w:pPr>
              <w:spacing w:after="160" w:line="259" w:lineRule="auto"/>
              <w:jc w:val="both"/>
              <w:rPr>
                <w:b/>
                <w:bCs/>
              </w:rPr>
            </w:pPr>
            <w:r w:rsidRPr="00313950">
              <w:rPr>
                <w:b/>
                <w:bCs/>
              </w:rPr>
              <w:t>2025</w:t>
            </w:r>
          </w:p>
        </w:tc>
        <w:tc>
          <w:tcPr>
            <w:tcW w:w="1577" w:type="dxa"/>
            <w:shd w:val="clear" w:color="auto" w:fill="A6A6A6" w:themeFill="background1" w:themeFillShade="A6"/>
            <w:hideMark/>
          </w:tcPr>
          <w:p w14:paraId="0DCE8E1B" w14:textId="77777777" w:rsidR="00313950" w:rsidRPr="00313950" w:rsidRDefault="00313950" w:rsidP="00313950">
            <w:pPr>
              <w:spacing w:after="160" w:line="259" w:lineRule="auto"/>
              <w:jc w:val="both"/>
              <w:rPr>
                <w:b/>
                <w:bCs/>
              </w:rPr>
            </w:pPr>
            <w:r w:rsidRPr="00313950">
              <w:rPr>
                <w:b/>
                <w:bCs/>
              </w:rPr>
              <w:t>2026</w:t>
            </w:r>
          </w:p>
        </w:tc>
      </w:tr>
      <w:tr w:rsidR="00313950" w:rsidRPr="00313950" w14:paraId="7D2ADC98" w14:textId="77777777" w:rsidTr="00313950">
        <w:trPr>
          <w:trHeight w:val="563"/>
        </w:trPr>
        <w:tc>
          <w:tcPr>
            <w:tcW w:w="1691" w:type="dxa"/>
            <w:hideMark/>
          </w:tcPr>
          <w:p w14:paraId="35007DE4" w14:textId="77777777" w:rsidR="00313950" w:rsidRPr="00313950" w:rsidRDefault="00313950" w:rsidP="00313950">
            <w:pPr>
              <w:spacing w:after="160" w:line="259" w:lineRule="auto"/>
              <w:jc w:val="both"/>
            </w:pPr>
            <w:r w:rsidRPr="00313950">
              <w:t>25-29 years</w:t>
            </w:r>
          </w:p>
        </w:tc>
        <w:tc>
          <w:tcPr>
            <w:tcW w:w="1577" w:type="dxa"/>
            <w:hideMark/>
          </w:tcPr>
          <w:p w14:paraId="6EEA5DB4" w14:textId="77777777" w:rsidR="00313950" w:rsidRPr="00313950" w:rsidRDefault="00313950" w:rsidP="00313950">
            <w:pPr>
              <w:spacing w:after="160" w:line="259" w:lineRule="auto"/>
              <w:jc w:val="both"/>
            </w:pPr>
            <w:r w:rsidRPr="00313950">
              <w:t xml:space="preserve">        17,511,122 </w:t>
            </w:r>
          </w:p>
        </w:tc>
        <w:tc>
          <w:tcPr>
            <w:tcW w:w="1538" w:type="dxa"/>
            <w:hideMark/>
          </w:tcPr>
          <w:p w14:paraId="3019C657" w14:textId="77777777" w:rsidR="00313950" w:rsidRPr="00313950" w:rsidRDefault="00313950" w:rsidP="00313950">
            <w:pPr>
              <w:spacing w:after="160" w:line="259" w:lineRule="auto"/>
              <w:jc w:val="both"/>
            </w:pPr>
            <w:r w:rsidRPr="00313950">
              <w:t xml:space="preserve">        18,673,134 </w:t>
            </w:r>
          </w:p>
        </w:tc>
        <w:tc>
          <w:tcPr>
            <w:tcW w:w="1577" w:type="dxa"/>
            <w:hideMark/>
          </w:tcPr>
          <w:p w14:paraId="67DACC7F" w14:textId="77777777" w:rsidR="00313950" w:rsidRPr="00313950" w:rsidRDefault="00313950" w:rsidP="00313950">
            <w:pPr>
              <w:spacing w:after="160" w:line="259" w:lineRule="auto"/>
              <w:jc w:val="both"/>
            </w:pPr>
            <w:r w:rsidRPr="00313950">
              <w:t xml:space="preserve">        19,900,089 </w:t>
            </w:r>
          </w:p>
        </w:tc>
        <w:tc>
          <w:tcPr>
            <w:tcW w:w="1577" w:type="dxa"/>
            <w:hideMark/>
          </w:tcPr>
          <w:p w14:paraId="4FE41C9F" w14:textId="77777777" w:rsidR="00313950" w:rsidRPr="00313950" w:rsidRDefault="00313950" w:rsidP="00313950">
            <w:pPr>
              <w:spacing w:after="160" w:line="259" w:lineRule="auto"/>
              <w:jc w:val="both"/>
            </w:pPr>
            <w:r w:rsidRPr="00313950">
              <w:t xml:space="preserve">        21,195,323 </w:t>
            </w:r>
          </w:p>
        </w:tc>
      </w:tr>
      <w:tr w:rsidR="00313950" w:rsidRPr="00313950" w14:paraId="469D6D67"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1" w:type="dxa"/>
            <w:hideMark/>
          </w:tcPr>
          <w:p w14:paraId="705DB571" w14:textId="77777777" w:rsidR="00313950" w:rsidRPr="00313950" w:rsidRDefault="00313950" w:rsidP="00313950">
            <w:pPr>
              <w:spacing w:after="160" w:line="259" w:lineRule="auto"/>
              <w:jc w:val="both"/>
            </w:pPr>
            <w:r w:rsidRPr="00313950">
              <w:t>30-34 years</w:t>
            </w:r>
          </w:p>
        </w:tc>
        <w:tc>
          <w:tcPr>
            <w:tcW w:w="1577" w:type="dxa"/>
            <w:hideMark/>
          </w:tcPr>
          <w:p w14:paraId="5606A490" w14:textId="77777777" w:rsidR="00313950" w:rsidRPr="00313950" w:rsidRDefault="00313950" w:rsidP="00313950">
            <w:pPr>
              <w:spacing w:after="160" w:line="259" w:lineRule="auto"/>
              <w:jc w:val="both"/>
            </w:pPr>
            <w:r w:rsidRPr="00313950">
              <w:t xml:space="preserve">        25,601,866 </w:t>
            </w:r>
          </w:p>
        </w:tc>
        <w:tc>
          <w:tcPr>
            <w:tcW w:w="1538" w:type="dxa"/>
            <w:hideMark/>
          </w:tcPr>
          <w:p w14:paraId="57E41389" w14:textId="77777777" w:rsidR="00313950" w:rsidRPr="00313950" w:rsidRDefault="00313950" w:rsidP="00313950">
            <w:pPr>
              <w:spacing w:after="160" w:line="259" w:lineRule="auto"/>
              <w:jc w:val="both"/>
            </w:pPr>
            <w:r w:rsidRPr="00313950">
              <w:t xml:space="preserve">        27,033,016 </w:t>
            </w:r>
          </w:p>
        </w:tc>
        <w:tc>
          <w:tcPr>
            <w:tcW w:w="1577" w:type="dxa"/>
            <w:hideMark/>
          </w:tcPr>
          <w:p w14:paraId="63CE45D6" w14:textId="77777777" w:rsidR="00313950" w:rsidRPr="00313950" w:rsidRDefault="00313950" w:rsidP="00313950">
            <w:pPr>
              <w:spacing w:after="160" w:line="259" w:lineRule="auto"/>
              <w:jc w:val="both"/>
            </w:pPr>
            <w:r w:rsidRPr="00313950">
              <w:t xml:space="preserve">        28,537,694 </w:t>
            </w:r>
          </w:p>
        </w:tc>
        <w:tc>
          <w:tcPr>
            <w:tcW w:w="1577" w:type="dxa"/>
            <w:hideMark/>
          </w:tcPr>
          <w:p w14:paraId="7B59FF20" w14:textId="77777777" w:rsidR="00313950" w:rsidRPr="00313950" w:rsidRDefault="00313950" w:rsidP="00313950">
            <w:pPr>
              <w:spacing w:after="160" w:line="259" w:lineRule="auto"/>
              <w:jc w:val="both"/>
            </w:pPr>
            <w:r w:rsidRPr="00313950">
              <w:t xml:space="preserve">        30,119,494 </w:t>
            </w:r>
          </w:p>
        </w:tc>
      </w:tr>
      <w:tr w:rsidR="00313950" w:rsidRPr="00313950" w14:paraId="5CD8D803" w14:textId="77777777" w:rsidTr="00313950">
        <w:trPr>
          <w:trHeight w:val="563"/>
        </w:trPr>
        <w:tc>
          <w:tcPr>
            <w:tcW w:w="1691" w:type="dxa"/>
            <w:hideMark/>
          </w:tcPr>
          <w:p w14:paraId="207AEF26" w14:textId="77777777" w:rsidR="00313950" w:rsidRPr="00313950" w:rsidRDefault="00313950" w:rsidP="00313950">
            <w:pPr>
              <w:spacing w:after="160" w:line="259" w:lineRule="auto"/>
              <w:jc w:val="both"/>
            </w:pPr>
            <w:r w:rsidRPr="00313950">
              <w:t>35-39 years</w:t>
            </w:r>
          </w:p>
        </w:tc>
        <w:tc>
          <w:tcPr>
            <w:tcW w:w="1577" w:type="dxa"/>
            <w:hideMark/>
          </w:tcPr>
          <w:p w14:paraId="27353968" w14:textId="77777777" w:rsidR="00313950" w:rsidRPr="00313950" w:rsidRDefault="00313950" w:rsidP="00313950">
            <w:pPr>
              <w:spacing w:after="160" w:line="259" w:lineRule="auto"/>
              <w:jc w:val="both"/>
            </w:pPr>
            <w:r w:rsidRPr="00313950">
              <w:t xml:space="preserve">        33,452,001 </w:t>
            </w:r>
          </w:p>
        </w:tc>
        <w:tc>
          <w:tcPr>
            <w:tcW w:w="1538" w:type="dxa"/>
            <w:hideMark/>
          </w:tcPr>
          <w:p w14:paraId="3FE811E3" w14:textId="77777777" w:rsidR="00313950" w:rsidRPr="00313950" w:rsidRDefault="00313950" w:rsidP="00313950">
            <w:pPr>
              <w:spacing w:after="160" w:line="259" w:lineRule="auto"/>
              <w:jc w:val="both"/>
            </w:pPr>
            <w:r w:rsidRPr="00313950">
              <w:t xml:space="preserve">        35,661,313 </w:t>
            </w:r>
          </w:p>
        </w:tc>
        <w:tc>
          <w:tcPr>
            <w:tcW w:w="1577" w:type="dxa"/>
            <w:hideMark/>
          </w:tcPr>
          <w:p w14:paraId="450319C4" w14:textId="77777777" w:rsidR="00313950" w:rsidRPr="00313950" w:rsidRDefault="00313950" w:rsidP="00313950">
            <w:pPr>
              <w:spacing w:after="160" w:line="259" w:lineRule="auto"/>
              <w:jc w:val="both"/>
            </w:pPr>
            <w:r w:rsidRPr="00313950">
              <w:t xml:space="preserve">        37,993,846 </w:t>
            </w:r>
          </w:p>
        </w:tc>
        <w:tc>
          <w:tcPr>
            <w:tcW w:w="1577" w:type="dxa"/>
            <w:hideMark/>
          </w:tcPr>
          <w:p w14:paraId="2300480D" w14:textId="77777777" w:rsidR="00313950" w:rsidRPr="00313950" w:rsidRDefault="00313950" w:rsidP="00313950">
            <w:pPr>
              <w:spacing w:after="160" w:line="259" w:lineRule="auto"/>
              <w:jc w:val="both"/>
            </w:pPr>
            <w:r w:rsidRPr="00313950">
              <w:t xml:space="preserve">        40,455,924 </w:t>
            </w:r>
          </w:p>
        </w:tc>
      </w:tr>
      <w:tr w:rsidR="00313950" w:rsidRPr="00313950" w14:paraId="24A5EF76"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1" w:type="dxa"/>
            <w:hideMark/>
          </w:tcPr>
          <w:p w14:paraId="05E3DB43" w14:textId="77777777" w:rsidR="00313950" w:rsidRPr="00313950" w:rsidRDefault="00313950" w:rsidP="00313950">
            <w:pPr>
              <w:spacing w:after="160" w:line="259" w:lineRule="auto"/>
              <w:jc w:val="both"/>
            </w:pPr>
            <w:r w:rsidRPr="00313950">
              <w:t>40-44 years</w:t>
            </w:r>
          </w:p>
        </w:tc>
        <w:tc>
          <w:tcPr>
            <w:tcW w:w="1577" w:type="dxa"/>
            <w:hideMark/>
          </w:tcPr>
          <w:p w14:paraId="115F4999" w14:textId="77777777" w:rsidR="00313950" w:rsidRPr="00313950" w:rsidRDefault="00313950" w:rsidP="00313950">
            <w:pPr>
              <w:spacing w:after="160" w:line="259" w:lineRule="auto"/>
              <w:jc w:val="both"/>
            </w:pPr>
            <w:r w:rsidRPr="00313950">
              <w:t xml:space="preserve">        39,362,816 </w:t>
            </w:r>
          </w:p>
        </w:tc>
        <w:tc>
          <w:tcPr>
            <w:tcW w:w="1538" w:type="dxa"/>
            <w:hideMark/>
          </w:tcPr>
          <w:p w14:paraId="0F972529" w14:textId="77777777" w:rsidR="00313950" w:rsidRPr="00313950" w:rsidRDefault="00313950" w:rsidP="00313950">
            <w:pPr>
              <w:spacing w:after="160" w:line="259" w:lineRule="auto"/>
              <w:jc w:val="both"/>
            </w:pPr>
            <w:r w:rsidRPr="00313950">
              <w:t xml:space="preserve">        41,706,092 </w:t>
            </w:r>
          </w:p>
        </w:tc>
        <w:tc>
          <w:tcPr>
            <w:tcW w:w="1577" w:type="dxa"/>
            <w:hideMark/>
          </w:tcPr>
          <w:p w14:paraId="347960AD" w14:textId="77777777" w:rsidR="00313950" w:rsidRPr="00313950" w:rsidRDefault="00313950" w:rsidP="00313950">
            <w:pPr>
              <w:spacing w:after="160" w:line="259" w:lineRule="auto"/>
              <w:jc w:val="both"/>
            </w:pPr>
            <w:r w:rsidRPr="00313950">
              <w:t xml:space="preserve">        44,173,849 </w:t>
            </w:r>
          </w:p>
        </w:tc>
        <w:tc>
          <w:tcPr>
            <w:tcW w:w="1577" w:type="dxa"/>
            <w:hideMark/>
          </w:tcPr>
          <w:p w14:paraId="2F7E8AF7" w14:textId="77777777" w:rsidR="00313950" w:rsidRPr="00313950" w:rsidRDefault="00313950" w:rsidP="00313950">
            <w:pPr>
              <w:spacing w:after="160" w:line="259" w:lineRule="auto"/>
              <w:jc w:val="both"/>
            </w:pPr>
            <w:r w:rsidRPr="00313950">
              <w:t xml:space="preserve">        46,772,298 </w:t>
            </w:r>
          </w:p>
        </w:tc>
      </w:tr>
      <w:tr w:rsidR="00313950" w:rsidRPr="00313950" w14:paraId="601C3C4B" w14:textId="77777777" w:rsidTr="00313950">
        <w:trPr>
          <w:trHeight w:val="563"/>
        </w:trPr>
        <w:tc>
          <w:tcPr>
            <w:tcW w:w="1691" w:type="dxa"/>
            <w:hideMark/>
          </w:tcPr>
          <w:p w14:paraId="0CE05185" w14:textId="77777777" w:rsidR="00313950" w:rsidRPr="00313950" w:rsidRDefault="00313950" w:rsidP="00313950">
            <w:pPr>
              <w:spacing w:after="160" w:line="259" w:lineRule="auto"/>
              <w:jc w:val="both"/>
            </w:pPr>
            <w:r w:rsidRPr="00313950">
              <w:t>45-49 years</w:t>
            </w:r>
          </w:p>
        </w:tc>
        <w:tc>
          <w:tcPr>
            <w:tcW w:w="1577" w:type="dxa"/>
            <w:hideMark/>
          </w:tcPr>
          <w:p w14:paraId="14A41204" w14:textId="77777777" w:rsidR="00313950" w:rsidRPr="00313950" w:rsidRDefault="00313950" w:rsidP="00313950">
            <w:pPr>
              <w:spacing w:after="160" w:line="259" w:lineRule="auto"/>
              <w:jc w:val="both"/>
            </w:pPr>
            <w:r w:rsidRPr="00313950">
              <w:t xml:space="preserve">        44,640,273 </w:t>
            </w:r>
          </w:p>
        </w:tc>
        <w:tc>
          <w:tcPr>
            <w:tcW w:w="1538" w:type="dxa"/>
            <w:hideMark/>
          </w:tcPr>
          <w:p w14:paraId="7553EDDB" w14:textId="77777777" w:rsidR="00313950" w:rsidRPr="00313950" w:rsidRDefault="00313950" w:rsidP="00313950">
            <w:pPr>
              <w:spacing w:after="160" w:line="259" w:lineRule="auto"/>
              <w:jc w:val="both"/>
            </w:pPr>
            <w:r w:rsidRPr="00313950">
              <w:t xml:space="preserve">        47,187,943 </w:t>
            </w:r>
          </w:p>
        </w:tc>
        <w:tc>
          <w:tcPr>
            <w:tcW w:w="1577" w:type="dxa"/>
            <w:hideMark/>
          </w:tcPr>
          <w:p w14:paraId="2FD8D28F" w14:textId="77777777" w:rsidR="00313950" w:rsidRPr="00313950" w:rsidRDefault="00313950" w:rsidP="00313950">
            <w:pPr>
              <w:spacing w:after="160" w:line="259" w:lineRule="auto"/>
              <w:jc w:val="both"/>
            </w:pPr>
            <w:r w:rsidRPr="00313950">
              <w:t xml:space="preserve">        49,868,002 </w:t>
            </w:r>
          </w:p>
        </w:tc>
        <w:tc>
          <w:tcPr>
            <w:tcW w:w="1577" w:type="dxa"/>
            <w:hideMark/>
          </w:tcPr>
          <w:p w14:paraId="2C129649" w14:textId="77777777" w:rsidR="00313950" w:rsidRPr="00313950" w:rsidRDefault="00313950" w:rsidP="00313950">
            <w:pPr>
              <w:spacing w:after="160" w:line="259" w:lineRule="auto"/>
              <w:jc w:val="both"/>
            </w:pPr>
            <w:r w:rsidRPr="00313950">
              <w:t xml:space="preserve">        52,686,966 </w:t>
            </w:r>
          </w:p>
        </w:tc>
      </w:tr>
      <w:tr w:rsidR="00313950" w:rsidRPr="00313950" w14:paraId="0920005E"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1" w:type="dxa"/>
            <w:hideMark/>
          </w:tcPr>
          <w:p w14:paraId="3641F7EB" w14:textId="77777777" w:rsidR="00313950" w:rsidRPr="00313950" w:rsidRDefault="00313950" w:rsidP="00313950">
            <w:pPr>
              <w:spacing w:after="160" w:line="259" w:lineRule="auto"/>
              <w:jc w:val="both"/>
            </w:pPr>
            <w:r w:rsidRPr="00313950">
              <w:t>50-54 years</w:t>
            </w:r>
          </w:p>
        </w:tc>
        <w:tc>
          <w:tcPr>
            <w:tcW w:w="1577" w:type="dxa"/>
            <w:hideMark/>
          </w:tcPr>
          <w:p w14:paraId="1BD0B0B7" w14:textId="77777777" w:rsidR="00313950" w:rsidRPr="00313950" w:rsidRDefault="00313950" w:rsidP="00313950">
            <w:pPr>
              <w:spacing w:after="160" w:line="259" w:lineRule="auto"/>
              <w:jc w:val="both"/>
            </w:pPr>
            <w:r w:rsidRPr="00313950">
              <w:t xml:space="preserve">        51,399,989 </w:t>
            </w:r>
          </w:p>
        </w:tc>
        <w:tc>
          <w:tcPr>
            <w:tcW w:w="1538" w:type="dxa"/>
            <w:hideMark/>
          </w:tcPr>
          <w:p w14:paraId="301814C1" w14:textId="77777777" w:rsidR="00313950" w:rsidRPr="00313950" w:rsidRDefault="00313950" w:rsidP="00313950">
            <w:pPr>
              <w:spacing w:after="160" w:line="259" w:lineRule="auto"/>
              <w:jc w:val="both"/>
            </w:pPr>
            <w:r w:rsidRPr="00313950">
              <w:t xml:space="preserve">        54,424,119 </w:t>
            </w:r>
          </w:p>
        </w:tc>
        <w:tc>
          <w:tcPr>
            <w:tcW w:w="1577" w:type="dxa"/>
            <w:hideMark/>
          </w:tcPr>
          <w:p w14:paraId="26E0F367" w14:textId="77777777" w:rsidR="00313950" w:rsidRPr="00313950" w:rsidRDefault="00313950" w:rsidP="00313950">
            <w:pPr>
              <w:spacing w:after="160" w:line="259" w:lineRule="auto"/>
              <w:jc w:val="both"/>
            </w:pPr>
            <w:r w:rsidRPr="00313950">
              <w:t xml:space="preserve">        57,607,939 </w:t>
            </w:r>
          </w:p>
        </w:tc>
        <w:tc>
          <w:tcPr>
            <w:tcW w:w="1577" w:type="dxa"/>
            <w:hideMark/>
          </w:tcPr>
          <w:p w14:paraId="1EE66E3E" w14:textId="77777777" w:rsidR="00313950" w:rsidRPr="00313950" w:rsidRDefault="00313950" w:rsidP="00313950">
            <w:pPr>
              <w:spacing w:after="160" w:line="259" w:lineRule="auto"/>
              <w:jc w:val="both"/>
            </w:pPr>
            <w:r w:rsidRPr="00313950">
              <w:t xml:space="preserve">        60,959,386 </w:t>
            </w:r>
          </w:p>
        </w:tc>
      </w:tr>
      <w:tr w:rsidR="00313950" w:rsidRPr="00313950" w14:paraId="1E91B5BC" w14:textId="77777777" w:rsidTr="00313950">
        <w:trPr>
          <w:trHeight w:val="563"/>
        </w:trPr>
        <w:tc>
          <w:tcPr>
            <w:tcW w:w="1691" w:type="dxa"/>
            <w:hideMark/>
          </w:tcPr>
          <w:p w14:paraId="2BBAC056" w14:textId="77777777" w:rsidR="00313950" w:rsidRPr="00313950" w:rsidRDefault="00313950" w:rsidP="00313950">
            <w:pPr>
              <w:spacing w:after="160" w:line="259" w:lineRule="auto"/>
              <w:jc w:val="both"/>
            </w:pPr>
            <w:r w:rsidRPr="00313950">
              <w:t>55-59 years</w:t>
            </w:r>
          </w:p>
        </w:tc>
        <w:tc>
          <w:tcPr>
            <w:tcW w:w="1577" w:type="dxa"/>
            <w:hideMark/>
          </w:tcPr>
          <w:p w14:paraId="367160D6" w14:textId="77777777" w:rsidR="00313950" w:rsidRPr="00313950" w:rsidRDefault="00313950" w:rsidP="00313950">
            <w:pPr>
              <w:spacing w:after="160" w:line="259" w:lineRule="auto"/>
              <w:jc w:val="both"/>
            </w:pPr>
            <w:r w:rsidRPr="00313950">
              <w:t xml:space="preserve">        34,960,634 </w:t>
            </w:r>
          </w:p>
        </w:tc>
        <w:tc>
          <w:tcPr>
            <w:tcW w:w="1538" w:type="dxa"/>
            <w:hideMark/>
          </w:tcPr>
          <w:p w14:paraId="369CB10F" w14:textId="77777777" w:rsidR="00313950" w:rsidRPr="00313950" w:rsidRDefault="00313950" w:rsidP="00313950">
            <w:pPr>
              <w:spacing w:after="160" w:line="259" w:lineRule="auto"/>
              <w:jc w:val="both"/>
            </w:pPr>
            <w:r w:rsidRPr="00313950">
              <w:t xml:space="preserve">        37,182,235 </w:t>
            </w:r>
          </w:p>
        </w:tc>
        <w:tc>
          <w:tcPr>
            <w:tcW w:w="1577" w:type="dxa"/>
            <w:hideMark/>
          </w:tcPr>
          <w:p w14:paraId="34415295" w14:textId="77777777" w:rsidR="00313950" w:rsidRPr="00313950" w:rsidRDefault="00313950" w:rsidP="00313950">
            <w:pPr>
              <w:spacing w:after="160" w:line="259" w:lineRule="auto"/>
              <w:jc w:val="both"/>
            </w:pPr>
            <w:r w:rsidRPr="00313950">
              <w:t xml:space="preserve">        39,525,627 </w:t>
            </w:r>
          </w:p>
        </w:tc>
        <w:tc>
          <w:tcPr>
            <w:tcW w:w="1577" w:type="dxa"/>
            <w:hideMark/>
          </w:tcPr>
          <w:p w14:paraId="4909F891" w14:textId="77777777" w:rsidR="00313950" w:rsidRPr="00313950" w:rsidRDefault="00313950" w:rsidP="00313950">
            <w:pPr>
              <w:spacing w:after="160" w:line="259" w:lineRule="auto"/>
              <w:jc w:val="both"/>
            </w:pPr>
            <w:r w:rsidRPr="00313950">
              <w:t xml:space="preserve">        41,996,999 </w:t>
            </w:r>
          </w:p>
        </w:tc>
      </w:tr>
      <w:tr w:rsidR="00313950" w:rsidRPr="00313950" w14:paraId="77C47422"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1" w:type="dxa"/>
            <w:hideMark/>
          </w:tcPr>
          <w:p w14:paraId="56F5A5B8" w14:textId="77777777" w:rsidR="00313950" w:rsidRPr="00313950" w:rsidRDefault="00313950" w:rsidP="00313950">
            <w:pPr>
              <w:spacing w:after="160" w:line="259" w:lineRule="auto"/>
              <w:jc w:val="both"/>
            </w:pPr>
            <w:r w:rsidRPr="00313950">
              <w:t>60-64 years</w:t>
            </w:r>
          </w:p>
        </w:tc>
        <w:tc>
          <w:tcPr>
            <w:tcW w:w="1577" w:type="dxa"/>
            <w:hideMark/>
          </w:tcPr>
          <w:p w14:paraId="28E35511" w14:textId="77777777" w:rsidR="00313950" w:rsidRPr="00313950" w:rsidRDefault="00313950" w:rsidP="00313950">
            <w:pPr>
              <w:spacing w:after="160" w:line="259" w:lineRule="auto"/>
              <w:jc w:val="both"/>
            </w:pPr>
            <w:r w:rsidRPr="00313950">
              <w:t xml:space="preserve">        28,881,851 </w:t>
            </w:r>
          </w:p>
        </w:tc>
        <w:tc>
          <w:tcPr>
            <w:tcW w:w="1538" w:type="dxa"/>
            <w:hideMark/>
          </w:tcPr>
          <w:p w14:paraId="3443431F" w14:textId="77777777" w:rsidR="00313950" w:rsidRPr="00313950" w:rsidRDefault="00313950" w:rsidP="00313950">
            <w:pPr>
              <w:spacing w:after="160" w:line="259" w:lineRule="auto"/>
              <w:jc w:val="both"/>
            </w:pPr>
            <w:r w:rsidRPr="00313950">
              <w:t xml:space="preserve">        30,684,795 </w:t>
            </w:r>
          </w:p>
        </w:tc>
        <w:tc>
          <w:tcPr>
            <w:tcW w:w="1577" w:type="dxa"/>
            <w:hideMark/>
          </w:tcPr>
          <w:p w14:paraId="1372BCDA" w14:textId="77777777" w:rsidR="00313950" w:rsidRPr="00313950" w:rsidRDefault="00313950" w:rsidP="00313950">
            <w:pPr>
              <w:spacing w:after="160" w:line="259" w:lineRule="auto"/>
              <w:jc w:val="both"/>
            </w:pPr>
            <w:r w:rsidRPr="00313950">
              <w:t xml:space="preserve">        32,585,764 </w:t>
            </w:r>
          </w:p>
        </w:tc>
        <w:tc>
          <w:tcPr>
            <w:tcW w:w="1577" w:type="dxa"/>
            <w:hideMark/>
          </w:tcPr>
          <w:p w14:paraId="33C3C0B3" w14:textId="77777777" w:rsidR="00313950" w:rsidRPr="00313950" w:rsidRDefault="00313950" w:rsidP="00313950">
            <w:pPr>
              <w:spacing w:after="160" w:line="259" w:lineRule="auto"/>
              <w:jc w:val="both"/>
            </w:pPr>
            <w:r w:rsidRPr="00313950">
              <w:t xml:space="preserve">        34,589,714 </w:t>
            </w:r>
          </w:p>
        </w:tc>
      </w:tr>
      <w:tr w:rsidR="00313950" w:rsidRPr="00313950" w14:paraId="1749B048" w14:textId="77777777" w:rsidTr="00313950">
        <w:trPr>
          <w:trHeight w:val="563"/>
        </w:trPr>
        <w:tc>
          <w:tcPr>
            <w:tcW w:w="1691" w:type="dxa"/>
            <w:hideMark/>
          </w:tcPr>
          <w:p w14:paraId="46A825C7" w14:textId="77777777" w:rsidR="00313950" w:rsidRPr="00313950" w:rsidRDefault="00313950" w:rsidP="00313950">
            <w:pPr>
              <w:spacing w:after="160" w:line="259" w:lineRule="auto"/>
              <w:jc w:val="both"/>
            </w:pPr>
          </w:p>
        </w:tc>
        <w:tc>
          <w:tcPr>
            <w:tcW w:w="1577" w:type="dxa"/>
            <w:hideMark/>
          </w:tcPr>
          <w:p w14:paraId="3BBE0CA6" w14:textId="77777777" w:rsidR="00313950" w:rsidRPr="00313950" w:rsidRDefault="00313950" w:rsidP="00313950">
            <w:pPr>
              <w:spacing w:after="160" w:line="259" w:lineRule="auto"/>
              <w:jc w:val="both"/>
            </w:pPr>
            <w:r w:rsidRPr="00313950">
              <w:t xml:space="preserve">      275,810,553 </w:t>
            </w:r>
          </w:p>
        </w:tc>
        <w:tc>
          <w:tcPr>
            <w:tcW w:w="1538" w:type="dxa"/>
            <w:hideMark/>
          </w:tcPr>
          <w:p w14:paraId="04F80F7B" w14:textId="77777777" w:rsidR="00313950" w:rsidRPr="00313950" w:rsidRDefault="00313950" w:rsidP="00313950">
            <w:pPr>
              <w:spacing w:after="160" w:line="259" w:lineRule="auto"/>
              <w:jc w:val="both"/>
            </w:pPr>
            <w:r w:rsidRPr="00313950">
              <w:t xml:space="preserve">     292,552,647 </w:t>
            </w:r>
          </w:p>
        </w:tc>
        <w:tc>
          <w:tcPr>
            <w:tcW w:w="1577" w:type="dxa"/>
            <w:hideMark/>
          </w:tcPr>
          <w:p w14:paraId="3B7686A0" w14:textId="77777777" w:rsidR="00313950" w:rsidRPr="00313950" w:rsidRDefault="00313950" w:rsidP="00313950">
            <w:pPr>
              <w:spacing w:after="160" w:line="259" w:lineRule="auto"/>
              <w:jc w:val="both"/>
            </w:pPr>
            <w:r w:rsidRPr="00313950">
              <w:t xml:space="preserve">      310,192,810 </w:t>
            </w:r>
          </w:p>
        </w:tc>
        <w:tc>
          <w:tcPr>
            <w:tcW w:w="1577" w:type="dxa"/>
            <w:hideMark/>
          </w:tcPr>
          <w:p w14:paraId="4D1770A8" w14:textId="77777777" w:rsidR="00313950" w:rsidRPr="00313950" w:rsidRDefault="00313950" w:rsidP="00313950">
            <w:pPr>
              <w:spacing w:after="160" w:line="259" w:lineRule="auto"/>
              <w:jc w:val="both"/>
            </w:pPr>
            <w:r w:rsidRPr="00313950">
              <w:t xml:space="preserve">      328,776,103 </w:t>
            </w:r>
          </w:p>
        </w:tc>
      </w:tr>
    </w:tbl>
    <w:p w14:paraId="12C5C083" w14:textId="77777777" w:rsidR="00313950" w:rsidRDefault="00313950" w:rsidP="00CA7ABD">
      <w:pPr>
        <w:jc w:val="both"/>
      </w:pPr>
    </w:p>
    <w:p w14:paraId="2ED78AE8" w14:textId="3E47BBD7" w:rsidR="00313950" w:rsidRPr="00313950" w:rsidRDefault="00313950" w:rsidP="00313950">
      <w:pPr>
        <w:pStyle w:val="Caption"/>
        <w:keepNext/>
        <w:rPr>
          <w:sz w:val="20"/>
          <w:szCs w:val="20"/>
        </w:rPr>
      </w:pPr>
      <w:r w:rsidRPr="00313950">
        <w:rPr>
          <w:sz w:val="20"/>
          <w:szCs w:val="20"/>
        </w:rPr>
        <w:t xml:space="preserve">Table </w:t>
      </w:r>
      <w:r w:rsidRPr="00313950">
        <w:rPr>
          <w:sz w:val="20"/>
          <w:szCs w:val="20"/>
        </w:rPr>
        <w:fldChar w:fldCharType="begin"/>
      </w:r>
      <w:r w:rsidRPr="00313950">
        <w:rPr>
          <w:sz w:val="20"/>
          <w:szCs w:val="20"/>
        </w:rPr>
        <w:instrText xml:space="preserve"> SEQ Table \* ARABIC </w:instrText>
      </w:r>
      <w:r w:rsidRPr="00313950">
        <w:rPr>
          <w:sz w:val="20"/>
          <w:szCs w:val="20"/>
        </w:rPr>
        <w:fldChar w:fldCharType="separate"/>
      </w:r>
      <w:r w:rsidRPr="00313950">
        <w:rPr>
          <w:noProof/>
          <w:sz w:val="20"/>
          <w:szCs w:val="20"/>
        </w:rPr>
        <w:t>6</w:t>
      </w:r>
      <w:r w:rsidRPr="00313950">
        <w:rPr>
          <w:sz w:val="20"/>
          <w:szCs w:val="20"/>
        </w:rPr>
        <w:fldChar w:fldCharType="end"/>
      </w:r>
      <w:r w:rsidR="00B4123C">
        <w:rPr>
          <w:sz w:val="20"/>
          <w:szCs w:val="20"/>
        </w:rPr>
        <w:t>:</w:t>
      </w:r>
      <w:r w:rsidRPr="00313950">
        <w:rPr>
          <w:sz w:val="20"/>
          <w:szCs w:val="20"/>
        </w:rPr>
        <w:t xml:space="preserve"> Savings in productivity losses due to </w:t>
      </w:r>
      <w:proofErr w:type="spellStart"/>
      <w:r w:rsidRPr="00313950">
        <w:rPr>
          <w:sz w:val="20"/>
          <w:szCs w:val="20"/>
        </w:rPr>
        <w:t>trans fat</w:t>
      </w:r>
      <w:proofErr w:type="spellEnd"/>
      <w:r w:rsidRPr="00313950">
        <w:rPr>
          <w:sz w:val="20"/>
          <w:szCs w:val="20"/>
        </w:rPr>
        <w:t xml:space="preserve"> elimination by age group in Pakistan from 2023 to 2026 (Females)</w:t>
      </w:r>
    </w:p>
    <w:tbl>
      <w:tblPr>
        <w:tblStyle w:val="PlainTable1"/>
        <w:tblW w:w="7960" w:type="dxa"/>
        <w:tblLook w:val="0400" w:firstRow="0" w:lastRow="0" w:firstColumn="0" w:lastColumn="0" w:noHBand="0" w:noVBand="1"/>
      </w:tblPr>
      <w:tblGrid>
        <w:gridCol w:w="1692"/>
        <w:gridCol w:w="1577"/>
        <w:gridCol w:w="1537"/>
        <w:gridCol w:w="1577"/>
        <w:gridCol w:w="1577"/>
      </w:tblGrid>
      <w:tr w:rsidR="00313950" w:rsidRPr="00313950" w14:paraId="46B2862A" w14:textId="77777777" w:rsidTr="00313950">
        <w:trPr>
          <w:cnfStyle w:val="000000100000" w:firstRow="0" w:lastRow="0" w:firstColumn="0" w:lastColumn="0" w:oddVBand="0" w:evenVBand="0" w:oddHBand="1" w:evenHBand="0" w:firstRowFirstColumn="0" w:firstRowLastColumn="0" w:lastRowFirstColumn="0" w:lastRowLastColumn="0"/>
          <w:trHeight w:val="314"/>
        </w:trPr>
        <w:tc>
          <w:tcPr>
            <w:tcW w:w="1692" w:type="dxa"/>
            <w:shd w:val="clear" w:color="auto" w:fill="A6A6A6" w:themeFill="background1" w:themeFillShade="A6"/>
            <w:hideMark/>
          </w:tcPr>
          <w:p w14:paraId="5E097891" w14:textId="77777777" w:rsidR="00313950" w:rsidRPr="00313950" w:rsidRDefault="00313950" w:rsidP="00313950">
            <w:pPr>
              <w:spacing w:after="160" w:line="259" w:lineRule="auto"/>
              <w:jc w:val="both"/>
              <w:rPr>
                <w:b/>
                <w:bCs/>
              </w:rPr>
            </w:pPr>
            <w:r w:rsidRPr="00313950">
              <w:rPr>
                <w:b/>
                <w:bCs/>
              </w:rPr>
              <w:t>Age</w:t>
            </w:r>
          </w:p>
        </w:tc>
        <w:tc>
          <w:tcPr>
            <w:tcW w:w="1577" w:type="dxa"/>
            <w:shd w:val="clear" w:color="auto" w:fill="A6A6A6" w:themeFill="background1" w:themeFillShade="A6"/>
            <w:hideMark/>
          </w:tcPr>
          <w:p w14:paraId="2C6331C3" w14:textId="77777777" w:rsidR="00313950" w:rsidRPr="00313950" w:rsidRDefault="00313950" w:rsidP="00313950">
            <w:pPr>
              <w:spacing w:after="160" w:line="259" w:lineRule="auto"/>
              <w:jc w:val="both"/>
              <w:rPr>
                <w:b/>
                <w:bCs/>
              </w:rPr>
            </w:pPr>
            <w:r w:rsidRPr="00313950">
              <w:rPr>
                <w:b/>
                <w:bCs/>
              </w:rPr>
              <w:t>2023</w:t>
            </w:r>
          </w:p>
        </w:tc>
        <w:tc>
          <w:tcPr>
            <w:tcW w:w="1537" w:type="dxa"/>
            <w:shd w:val="clear" w:color="auto" w:fill="A6A6A6" w:themeFill="background1" w:themeFillShade="A6"/>
            <w:hideMark/>
          </w:tcPr>
          <w:p w14:paraId="7478CC92" w14:textId="77777777" w:rsidR="00313950" w:rsidRPr="00313950" w:rsidRDefault="00313950" w:rsidP="00313950">
            <w:pPr>
              <w:spacing w:after="160" w:line="259" w:lineRule="auto"/>
              <w:jc w:val="both"/>
              <w:rPr>
                <w:b/>
                <w:bCs/>
              </w:rPr>
            </w:pPr>
            <w:r w:rsidRPr="00313950">
              <w:rPr>
                <w:b/>
                <w:bCs/>
              </w:rPr>
              <w:t>2024</w:t>
            </w:r>
          </w:p>
        </w:tc>
        <w:tc>
          <w:tcPr>
            <w:tcW w:w="1577" w:type="dxa"/>
            <w:shd w:val="clear" w:color="auto" w:fill="A6A6A6" w:themeFill="background1" w:themeFillShade="A6"/>
            <w:hideMark/>
          </w:tcPr>
          <w:p w14:paraId="594CE8DC" w14:textId="77777777" w:rsidR="00313950" w:rsidRPr="00313950" w:rsidRDefault="00313950" w:rsidP="00313950">
            <w:pPr>
              <w:spacing w:after="160" w:line="259" w:lineRule="auto"/>
              <w:jc w:val="both"/>
              <w:rPr>
                <w:b/>
                <w:bCs/>
              </w:rPr>
            </w:pPr>
            <w:r w:rsidRPr="00313950">
              <w:rPr>
                <w:b/>
                <w:bCs/>
              </w:rPr>
              <w:t>2025</w:t>
            </w:r>
          </w:p>
        </w:tc>
        <w:tc>
          <w:tcPr>
            <w:tcW w:w="1577" w:type="dxa"/>
            <w:shd w:val="clear" w:color="auto" w:fill="A6A6A6" w:themeFill="background1" w:themeFillShade="A6"/>
            <w:hideMark/>
          </w:tcPr>
          <w:p w14:paraId="768E2872" w14:textId="77777777" w:rsidR="00313950" w:rsidRPr="00313950" w:rsidRDefault="00313950" w:rsidP="00313950">
            <w:pPr>
              <w:spacing w:after="160" w:line="259" w:lineRule="auto"/>
              <w:jc w:val="both"/>
              <w:rPr>
                <w:b/>
                <w:bCs/>
              </w:rPr>
            </w:pPr>
            <w:r w:rsidRPr="00313950">
              <w:rPr>
                <w:b/>
                <w:bCs/>
              </w:rPr>
              <w:t>2026</w:t>
            </w:r>
          </w:p>
        </w:tc>
      </w:tr>
      <w:tr w:rsidR="00313950" w:rsidRPr="00313950" w14:paraId="12D86239" w14:textId="77777777" w:rsidTr="00313950">
        <w:trPr>
          <w:trHeight w:val="563"/>
        </w:trPr>
        <w:tc>
          <w:tcPr>
            <w:tcW w:w="1692" w:type="dxa"/>
            <w:hideMark/>
          </w:tcPr>
          <w:p w14:paraId="49D1D0B3" w14:textId="77777777" w:rsidR="00313950" w:rsidRPr="00313950" w:rsidRDefault="00313950" w:rsidP="00313950">
            <w:pPr>
              <w:spacing w:after="160" w:line="259" w:lineRule="auto"/>
              <w:jc w:val="both"/>
            </w:pPr>
            <w:r w:rsidRPr="00313950">
              <w:t>25-29 years</w:t>
            </w:r>
          </w:p>
        </w:tc>
        <w:tc>
          <w:tcPr>
            <w:tcW w:w="1577" w:type="dxa"/>
            <w:hideMark/>
          </w:tcPr>
          <w:p w14:paraId="11403BE5" w14:textId="77777777" w:rsidR="00313950" w:rsidRPr="00313950" w:rsidRDefault="00313950" w:rsidP="00313950">
            <w:pPr>
              <w:spacing w:after="160" w:line="259" w:lineRule="auto"/>
              <w:jc w:val="both"/>
            </w:pPr>
            <w:r w:rsidRPr="00313950">
              <w:t xml:space="preserve">          1,849,159 </w:t>
            </w:r>
          </w:p>
        </w:tc>
        <w:tc>
          <w:tcPr>
            <w:tcW w:w="1537" w:type="dxa"/>
            <w:hideMark/>
          </w:tcPr>
          <w:p w14:paraId="68468400" w14:textId="77777777" w:rsidR="00313950" w:rsidRPr="00313950" w:rsidRDefault="00313950" w:rsidP="00313950">
            <w:pPr>
              <w:spacing w:after="160" w:line="259" w:lineRule="auto"/>
              <w:jc w:val="both"/>
            </w:pPr>
            <w:r w:rsidRPr="00313950">
              <w:t xml:space="preserve">          1,960,129 </w:t>
            </w:r>
          </w:p>
        </w:tc>
        <w:tc>
          <w:tcPr>
            <w:tcW w:w="1577" w:type="dxa"/>
            <w:hideMark/>
          </w:tcPr>
          <w:p w14:paraId="7442DC99" w14:textId="77777777" w:rsidR="00313950" w:rsidRPr="00313950" w:rsidRDefault="00313950" w:rsidP="00313950">
            <w:pPr>
              <w:spacing w:after="160" w:line="259" w:lineRule="auto"/>
              <w:jc w:val="both"/>
            </w:pPr>
            <w:r w:rsidRPr="00313950">
              <w:t xml:space="preserve">          2,077,017 </w:t>
            </w:r>
          </w:p>
        </w:tc>
        <w:tc>
          <w:tcPr>
            <w:tcW w:w="1577" w:type="dxa"/>
            <w:hideMark/>
          </w:tcPr>
          <w:p w14:paraId="4415C94D" w14:textId="77777777" w:rsidR="00313950" w:rsidRPr="00313950" w:rsidRDefault="00313950" w:rsidP="00313950">
            <w:pPr>
              <w:spacing w:after="160" w:line="259" w:lineRule="auto"/>
              <w:jc w:val="both"/>
            </w:pPr>
            <w:r w:rsidRPr="00313950">
              <w:t xml:space="preserve">          2,200,121 </w:t>
            </w:r>
          </w:p>
        </w:tc>
      </w:tr>
      <w:tr w:rsidR="00313950" w:rsidRPr="00313950" w14:paraId="3D0C36F7"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2" w:type="dxa"/>
            <w:hideMark/>
          </w:tcPr>
          <w:p w14:paraId="123CD09E" w14:textId="77777777" w:rsidR="00313950" w:rsidRPr="00313950" w:rsidRDefault="00313950" w:rsidP="00313950">
            <w:pPr>
              <w:spacing w:after="160" w:line="259" w:lineRule="auto"/>
              <w:jc w:val="both"/>
            </w:pPr>
            <w:r w:rsidRPr="00313950">
              <w:t>30-34 years</w:t>
            </w:r>
          </w:p>
        </w:tc>
        <w:tc>
          <w:tcPr>
            <w:tcW w:w="1577" w:type="dxa"/>
            <w:hideMark/>
          </w:tcPr>
          <w:p w14:paraId="421C01CF" w14:textId="77777777" w:rsidR="00313950" w:rsidRPr="00313950" w:rsidRDefault="00313950" w:rsidP="00313950">
            <w:pPr>
              <w:spacing w:after="160" w:line="259" w:lineRule="auto"/>
              <w:jc w:val="both"/>
            </w:pPr>
            <w:r w:rsidRPr="00313950">
              <w:t xml:space="preserve">          2,000,457 </w:t>
            </w:r>
          </w:p>
        </w:tc>
        <w:tc>
          <w:tcPr>
            <w:tcW w:w="1537" w:type="dxa"/>
            <w:hideMark/>
          </w:tcPr>
          <w:p w14:paraId="477E35D2" w14:textId="77777777" w:rsidR="00313950" w:rsidRPr="00313950" w:rsidRDefault="00313950" w:rsidP="00313950">
            <w:pPr>
              <w:spacing w:after="160" w:line="259" w:lineRule="auto"/>
              <w:jc w:val="both"/>
            </w:pPr>
            <w:r w:rsidRPr="00313950">
              <w:t xml:space="preserve">          2,148,834 </w:t>
            </w:r>
          </w:p>
        </w:tc>
        <w:tc>
          <w:tcPr>
            <w:tcW w:w="1577" w:type="dxa"/>
            <w:hideMark/>
          </w:tcPr>
          <w:p w14:paraId="4FE3880A" w14:textId="77777777" w:rsidR="00313950" w:rsidRPr="00313950" w:rsidRDefault="00313950" w:rsidP="00313950">
            <w:pPr>
              <w:spacing w:after="160" w:line="259" w:lineRule="auto"/>
              <w:jc w:val="both"/>
            </w:pPr>
            <w:r w:rsidRPr="00313950">
              <w:t xml:space="preserve">          2,305,880 </w:t>
            </w:r>
          </w:p>
        </w:tc>
        <w:tc>
          <w:tcPr>
            <w:tcW w:w="1577" w:type="dxa"/>
            <w:hideMark/>
          </w:tcPr>
          <w:p w14:paraId="66E6BDCC" w14:textId="77777777" w:rsidR="00313950" w:rsidRPr="00313950" w:rsidRDefault="00313950" w:rsidP="00313950">
            <w:pPr>
              <w:spacing w:after="160" w:line="259" w:lineRule="auto"/>
              <w:jc w:val="both"/>
            </w:pPr>
            <w:r w:rsidRPr="00313950">
              <w:t xml:space="preserve">          2,472,052 </w:t>
            </w:r>
          </w:p>
        </w:tc>
      </w:tr>
      <w:tr w:rsidR="00313950" w:rsidRPr="00313950" w14:paraId="40152A0C" w14:textId="77777777" w:rsidTr="00313950">
        <w:trPr>
          <w:trHeight w:val="563"/>
        </w:trPr>
        <w:tc>
          <w:tcPr>
            <w:tcW w:w="1692" w:type="dxa"/>
            <w:hideMark/>
          </w:tcPr>
          <w:p w14:paraId="18A5853D" w14:textId="77777777" w:rsidR="00313950" w:rsidRPr="00313950" w:rsidRDefault="00313950" w:rsidP="00313950">
            <w:pPr>
              <w:spacing w:after="160" w:line="259" w:lineRule="auto"/>
              <w:jc w:val="both"/>
            </w:pPr>
            <w:r w:rsidRPr="00313950">
              <w:t>35-39 years</w:t>
            </w:r>
          </w:p>
        </w:tc>
        <w:tc>
          <w:tcPr>
            <w:tcW w:w="1577" w:type="dxa"/>
            <w:hideMark/>
          </w:tcPr>
          <w:p w14:paraId="20F53108" w14:textId="77777777" w:rsidR="00313950" w:rsidRPr="00313950" w:rsidRDefault="00313950" w:rsidP="00313950">
            <w:pPr>
              <w:spacing w:after="160" w:line="259" w:lineRule="auto"/>
              <w:jc w:val="both"/>
            </w:pPr>
            <w:r w:rsidRPr="00313950">
              <w:t xml:space="preserve">          3,166,339 </w:t>
            </w:r>
          </w:p>
        </w:tc>
        <w:tc>
          <w:tcPr>
            <w:tcW w:w="1537" w:type="dxa"/>
            <w:hideMark/>
          </w:tcPr>
          <w:p w14:paraId="7966B866" w14:textId="77777777" w:rsidR="00313950" w:rsidRPr="00313950" w:rsidRDefault="00313950" w:rsidP="00313950">
            <w:pPr>
              <w:spacing w:after="160" w:line="259" w:lineRule="auto"/>
              <w:jc w:val="both"/>
            </w:pPr>
            <w:r w:rsidRPr="00313950">
              <w:t xml:space="preserve">          3,367,649 </w:t>
            </w:r>
          </w:p>
        </w:tc>
        <w:tc>
          <w:tcPr>
            <w:tcW w:w="1577" w:type="dxa"/>
            <w:hideMark/>
          </w:tcPr>
          <w:p w14:paraId="74BD1F9B" w14:textId="77777777" w:rsidR="00313950" w:rsidRPr="00313950" w:rsidRDefault="00313950" w:rsidP="00313950">
            <w:pPr>
              <w:spacing w:after="160" w:line="259" w:lineRule="auto"/>
              <w:jc w:val="both"/>
            </w:pPr>
            <w:r w:rsidRPr="00313950">
              <w:t xml:space="preserve">          3,579,999 </w:t>
            </w:r>
          </w:p>
        </w:tc>
        <w:tc>
          <w:tcPr>
            <w:tcW w:w="1577" w:type="dxa"/>
            <w:hideMark/>
          </w:tcPr>
          <w:p w14:paraId="16727592" w14:textId="77777777" w:rsidR="00313950" w:rsidRPr="00313950" w:rsidRDefault="00313950" w:rsidP="00313950">
            <w:pPr>
              <w:spacing w:after="160" w:line="259" w:lineRule="auto"/>
              <w:jc w:val="both"/>
            </w:pPr>
            <w:r w:rsidRPr="00313950">
              <w:t xml:space="preserve">          3,803,947 </w:t>
            </w:r>
          </w:p>
        </w:tc>
      </w:tr>
      <w:tr w:rsidR="00313950" w:rsidRPr="00313950" w14:paraId="29272376"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2" w:type="dxa"/>
            <w:hideMark/>
          </w:tcPr>
          <w:p w14:paraId="06FAD732" w14:textId="77777777" w:rsidR="00313950" w:rsidRPr="00313950" w:rsidRDefault="00313950" w:rsidP="00313950">
            <w:pPr>
              <w:spacing w:after="160" w:line="259" w:lineRule="auto"/>
              <w:jc w:val="both"/>
            </w:pPr>
            <w:r w:rsidRPr="00313950">
              <w:t>40-44 years</w:t>
            </w:r>
          </w:p>
        </w:tc>
        <w:tc>
          <w:tcPr>
            <w:tcW w:w="1577" w:type="dxa"/>
            <w:hideMark/>
          </w:tcPr>
          <w:p w14:paraId="601E3B8E" w14:textId="77777777" w:rsidR="00313950" w:rsidRPr="00313950" w:rsidRDefault="00313950" w:rsidP="00313950">
            <w:pPr>
              <w:spacing w:after="160" w:line="259" w:lineRule="auto"/>
              <w:jc w:val="both"/>
            </w:pPr>
            <w:r w:rsidRPr="00313950">
              <w:t xml:space="preserve">          4,164,732 </w:t>
            </w:r>
          </w:p>
        </w:tc>
        <w:tc>
          <w:tcPr>
            <w:tcW w:w="1537" w:type="dxa"/>
            <w:hideMark/>
          </w:tcPr>
          <w:p w14:paraId="02DF9EBE" w14:textId="77777777" w:rsidR="00313950" w:rsidRPr="00313950" w:rsidRDefault="00313950" w:rsidP="00313950">
            <w:pPr>
              <w:spacing w:after="160" w:line="259" w:lineRule="auto"/>
              <w:jc w:val="both"/>
            </w:pPr>
            <w:r w:rsidRPr="00313950">
              <w:t xml:space="preserve">          4,409,886 </w:t>
            </w:r>
          </w:p>
        </w:tc>
        <w:tc>
          <w:tcPr>
            <w:tcW w:w="1577" w:type="dxa"/>
            <w:hideMark/>
          </w:tcPr>
          <w:p w14:paraId="57D97E91" w14:textId="77777777" w:rsidR="00313950" w:rsidRPr="00313950" w:rsidRDefault="00313950" w:rsidP="00313950">
            <w:pPr>
              <w:spacing w:after="160" w:line="259" w:lineRule="auto"/>
              <w:jc w:val="both"/>
            </w:pPr>
            <w:r w:rsidRPr="00313950">
              <w:t xml:space="preserve">          4,667,988 </w:t>
            </w:r>
          </w:p>
        </w:tc>
        <w:tc>
          <w:tcPr>
            <w:tcW w:w="1577" w:type="dxa"/>
            <w:hideMark/>
          </w:tcPr>
          <w:p w14:paraId="4DD96C93" w14:textId="77777777" w:rsidR="00313950" w:rsidRPr="00313950" w:rsidRDefault="00313950" w:rsidP="00313950">
            <w:pPr>
              <w:spacing w:after="160" w:line="259" w:lineRule="auto"/>
              <w:jc w:val="both"/>
            </w:pPr>
            <w:r w:rsidRPr="00313950">
              <w:t xml:space="preserve">          4,939,683 </w:t>
            </w:r>
          </w:p>
        </w:tc>
      </w:tr>
      <w:tr w:rsidR="00313950" w:rsidRPr="00313950" w14:paraId="7957901E" w14:textId="77777777" w:rsidTr="00313950">
        <w:trPr>
          <w:trHeight w:val="563"/>
        </w:trPr>
        <w:tc>
          <w:tcPr>
            <w:tcW w:w="1692" w:type="dxa"/>
            <w:hideMark/>
          </w:tcPr>
          <w:p w14:paraId="5D883A76" w14:textId="77777777" w:rsidR="00313950" w:rsidRPr="00313950" w:rsidRDefault="00313950" w:rsidP="00313950">
            <w:pPr>
              <w:spacing w:after="160" w:line="259" w:lineRule="auto"/>
              <w:jc w:val="both"/>
            </w:pPr>
            <w:r w:rsidRPr="00313950">
              <w:t>45-49 years</w:t>
            </w:r>
          </w:p>
        </w:tc>
        <w:tc>
          <w:tcPr>
            <w:tcW w:w="1577" w:type="dxa"/>
            <w:hideMark/>
          </w:tcPr>
          <w:p w14:paraId="4E379D7A" w14:textId="77777777" w:rsidR="00313950" w:rsidRPr="00313950" w:rsidRDefault="00313950" w:rsidP="00313950">
            <w:pPr>
              <w:spacing w:after="160" w:line="259" w:lineRule="auto"/>
              <w:jc w:val="both"/>
            </w:pPr>
            <w:r w:rsidRPr="00313950">
              <w:t xml:space="preserve">          5,515,464 </w:t>
            </w:r>
          </w:p>
        </w:tc>
        <w:tc>
          <w:tcPr>
            <w:tcW w:w="1537" w:type="dxa"/>
            <w:hideMark/>
          </w:tcPr>
          <w:p w14:paraId="46A13EA4" w14:textId="77777777" w:rsidR="00313950" w:rsidRPr="00313950" w:rsidRDefault="00313950" w:rsidP="00313950">
            <w:pPr>
              <w:spacing w:after="160" w:line="259" w:lineRule="auto"/>
              <w:jc w:val="both"/>
            </w:pPr>
            <w:r w:rsidRPr="00313950">
              <w:t xml:space="preserve">          5,902,572 </w:t>
            </w:r>
          </w:p>
        </w:tc>
        <w:tc>
          <w:tcPr>
            <w:tcW w:w="1577" w:type="dxa"/>
            <w:hideMark/>
          </w:tcPr>
          <w:p w14:paraId="32ECF3F1" w14:textId="77777777" w:rsidR="00313950" w:rsidRPr="00313950" w:rsidRDefault="00313950" w:rsidP="00313950">
            <w:pPr>
              <w:spacing w:after="160" w:line="259" w:lineRule="auto"/>
              <w:jc w:val="both"/>
            </w:pPr>
            <w:r w:rsidRPr="00313950">
              <w:t xml:space="preserve">          6,311,824 </w:t>
            </w:r>
          </w:p>
        </w:tc>
        <w:tc>
          <w:tcPr>
            <w:tcW w:w="1577" w:type="dxa"/>
            <w:hideMark/>
          </w:tcPr>
          <w:p w14:paraId="475740A3" w14:textId="77777777" w:rsidR="00313950" w:rsidRPr="00313950" w:rsidRDefault="00313950" w:rsidP="00313950">
            <w:pPr>
              <w:spacing w:after="160" w:line="259" w:lineRule="auto"/>
              <w:jc w:val="both"/>
            </w:pPr>
            <w:r w:rsidRPr="00313950">
              <w:t xml:space="preserve">          6,744,373 </w:t>
            </w:r>
          </w:p>
        </w:tc>
      </w:tr>
      <w:tr w:rsidR="00313950" w:rsidRPr="00313950" w14:paraId="28D042AC"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2" w:type="dxa"/>
            <w:hideMark/>
          </w:tcPr>
          <w:p w14:paraId="2F40C61C" w14:textId="77777777" w:rsidR="00313950" w:rsidRPr="00313950" w:rsidRDefault="00313950" w:rsidP="00313950">
            <w:pPr>
              <w:spacing w:after="160" w:line="259" w:lineRule="auto"/>
              <w:jc w:val="both"/>
            </w:pPr>
            <w:r w:rsidRPr="00313950">
              <w:t>50-54 years</w:t>
            </w:r>
          </w:p>
        </w:tc>
        <w:tc>
          <w:tcPr>
            <w:tcW w:w="1577" w:type="dxa"/>
            <w:hideMark/>
          </w:tcPr>
          <w:p w14:paraId="62FCF9B6" w14:textId="77777777" w:rsidR="00313950" w:rsidRPr="00313950" w:rsidRDefault="00313950" w:rsidP="00313950">
            <w:pPr>
              <w:spacing w:after="160" w:line="259" w:lineRule="auto"/>
              <w:jc w:val="both"/>
            </w:pPr>
            <w:r w:rsidRPr="00313950">
              <w:t xml:space="preserve">          6,695,935 </w:t>
            </w:r>
          </w:p>
        </w:tc>
        <w:tc>
          <w:tcPr>
            <w:tcW w:w="1537" w:type="dxa"/>
            <w:hideMark/>
          </w:tcPr>
          <w:p w14:paraId="1E049748" w14:textId="77777777" w:rsidR="00313950" w:rsidRPr="00313950" w:rsidRDefault="00313950" w:rsidP="00313950">
            <w:pPr>
              <w:spacing w:after="160" w:line="259" w:lineRule="auto"/>
              <w:jc w:val="both"/>
            </w:pPr>
            <w:r w:rsidRPr="00313950">
              <w:t xml:space="preserve">          7,146,542 </w:t>
            </w:r>
          </w:p>
        </w:tc>
        <w:tc>
          <w:tcPr>
            <w:tcW w:w="1577" w:type="dxa"/>
            <w:hideMark/>
          </w:tcPr>
          <w:p w14:paraId="312C68AB" w14:textId="77777777" w:rsidR="00313950" w:rsidRPr="00313950" w:rsidRDefault="00313950" w:rsidP="00313950">
            <w:pPr>
              <w:spacing w:after="160" w:line="259" w:lineRule="auto"/>
              <w:jc w:val="both"/>
            </w:pPr>
            <w:r w:rsidRPr="00313950">
              <w:t xml:space="preserve">          7,622,485 </w:t>
            </w:r>
          </w:p>
        </w:tc>
        <w:tc>
          <w:tcPr>
            <w:tcW w:w="1577" w:type="dxa"/>
            <w:hideMark/>
          </w:tcPr>
          <w:p w14:paraId="0FB834DA" w14:textId="77777777" w:rsidR="00313950" w:rsidRPr="00313950" w:rsidRDefault="00313950" w:rsidP="00313950">
            <w:pPr>
              <w:spacing w:after="160" w:line="259" w:lineRule="auto"/>
              <w:jc w:val="both"/>
            </w:pPr>
            <w:r w:rsidRPr="00313950">
              <w:t xml:space="preserve">          8,125,068 </w:t>
            </w:r>
          </w:p>
        </w:tc>
      </w:tr>
      <w:tr w:rsidR="00313950" w:rsidRPr="00313950" w14:paraId="11B14B0C" w14:textId="77777777" w:rsidTr="00313950">
        <w:trPr>
          <w:trHeight w:val="563"/>
        </w:trPr>
        <w:tc>
          <w:tcPr>
            <w:tcW w:w="1692" w:type="dxa"/>
            <w:hideMark/>
          </w:tcPr>
          <w:p w14:paraId="589A9228" w14:textId="77777777" w:rsidR="00313950" w:rsidRPr="00313950" w:rsidRDefault="00313950" w:rsidP="00313950">
            <w:pPr>
              <w:spacing w:after="160" w:line="259" w:lineRule="auto"/>
              <w:jc w:val="both"/>
            </w:pPr>
            <w:r w:rsidRPr="00313950">
              <w:t>55-59 years</w:t>
            </w:r>
          </w:p>
        </w:tc>
        <w:tc>
          <w:tcPr>
            <w:tcW w:w="1577" w:type="dxa"/>
            <w:hideMark/>
          </w:tcPr>
          <w:p w14:paraId="3CE5E1EC" w14:textId="77777777" w:rsidR="00313950" w:rsidRPr="00313950" w:rsidRDefault="00313950" w:rsidP="00313950">
            <w:pPr>
              <w:spacing w:after="160" w:line="259" w:lineRule="auto"/>
              <w:jc w:val="both"/>
            </w:pPr>
            <w:r w:rsidRPr="00313950">
              <w:t xml:space="preserve">          3,321,074 </w:t>
            </w:r>
          </w:p>
        </w:tc>
        <w:tc>
          <w:tcPr>
            <w:tcW w:w="1537" w:type="dxa"/>
            <w:hideMark/>
          </w:tcPr>
          <w:p w14:paraId="5A18E8F5" w14:textId="77777777" w:rsidR="00313950" w:rsidRPr="00313950" w:rsidRDefault="00313950" w:rsidP="00313950">
            <w:pPr>
              <w:spacing w:after="160" w:line="259" w:lineRule="auto"/>
              <w:jc w:val="both"/>
            </w:pPr>
            <w:r w:rsidRPr="00313950">
              <w:t xml:space="preserve">          3,544,057 </w:t>
            </w:r>
          </w:p>
        </w:tc>
        <w:tc>
          <w:tcPr>
            <w:tcW w:w="1577" w:type="dxa"/>
            <w:hideMark/>
          </w:tcPr>
          <w:p w14:paraId="08ADF120" w14:textId="77777777" w:rsidR="00313950" w:rsidRPr="00313950" w:rsidRDefault="00313950" w:rsidP="00313950">
            <w:pPr>
              <w:spacing w:after="160" w:line="259" w:lineRule="auto"/>
              <w:jc w:val="both"/>
            </w:pPr>
            <w:r w:rsidRPr="00313950">
              <w:t xml:space="preserve">          3,779,566 </w:t>
            </w:r>
          </w:p>
        </w:tc>
        <w:tc>
          <w:tcPr>
            <w:tcW w:w="1577" w:type="dxa"/>
            <w:hideMark/>
          </w:tcPr>
          <w:p w14:paraId="1407FE3E" w14:textId="77777777" w:rsidR="00313950" w:rsidRPr="00313950" w:rsidRDefault="00313950" w:rsidP="00313950">
            <w:pPr>
              <w:spacing w:after="160" w:line="259" w:lineRule="auto"/>
              <w:jc w:val="both"/>
            </w:pPr>
            <w:r w:rsidRPr="00313950">
              <w:t xml:space="preserve">          4,028,244 </w:t>
            </w:r>
          </w:p>
        </w:tc>
      </w:tr>
      <w:tr w:rsidR="00313950" w:rsidRPr="00313950" w14:paraId="73041AA2" w14:textId="77777777" w:rsidTr="00313950">
        <w:trPr>
          <w:cnfStyle w:val="000000100000" w:firstRow="0" w:lastRow="0" w:firstColumn="0" w:lastColumn="0" w:oddVBand="0" w:evenVBand="0" w:oddHBand="1" w:evenHBand="0" w:firstRowFirstColumn="0" w:firstRowLastColumn="0" w:lastRowFirstColumn="0" w:lastRowLastColumn="0"/>
          <w:trHeight w:val="563"/>
        </w:trPr>
        <w:tc>
          <w:tcPr>
            <w:tcW w:w="1692" w:type="dxa"/>
            <w:hideMark/>
          </w:tcPr>
          <w:p w14:paraId="5998B984" w14:textId="77777777" w:rsidR="00313950" w:rsidRPr="00313950" w:rsidRDefault="00313950" w:rsidP="00313950">
            <w:pPr>
              <w:spacing w:after="160" w:line="259" w:lineRule="auto"/>
              <w:jc w:val="both"/>
            </w:pPr>
            <w:r w:rsidRPr="00313950">
              <w:t>60-64 years</w:t>
            </w:r>
          </w:p>
        </w:tc>
        <w:tc>
          <w:tcPr>
            <w:tcW w:w="1577" w:type="dxa"/>
            <w:hideMark/>
          </w:tcPr>
          <w:p w14:paraId="5311D298" w14:textId="77777777" w:rsidR="00313950" w:rsidRPr="00313950" w:rsidRDefault="00313950" w:rsidP="00313950">
            <w:pPr>
              <w:spacing w:after="160" w:line="259" w:lineRule="auto"/>
              <w:jc w:val="both"/>
            </w:pPr>
            <w:r w:rsidRPr="00313950">
              <w:t xml:space="preserve">          3,527,850 </w:t>
            </w:r>
          </w:p>
        </w:tc>
        <w:tc>
          <w:tcPr>
            <w:tcW w:w="1537" w:type="dxa"/>
            <w:hideMark/>
          </w:tcPr>
          <w:p w14:paraId="6DC902A8" w14:textId="77777777" w:rsidR="00313950" w:rsidRPr="00313950" w:rsidRDefault="00313950" w:rsidP="00313950">
            <w:pPr>
              <w:spacing w:after="160" w:line="259" w:lineRule="auto"/>
              <w:jc w:val="both"/>
            </w:pPr>
            <w:r w:rsidRPr="00313950">
              <w:t xml:space="preserve">          3,741,414 </w:t>
            </w:r>
          </w:p>
        </w:tc>
        <w:tc>
          <w:tcPr>
            <w:tcW w:w="1577" w:type="dxa"/>
            <w:hideMark/>
          </w:tcPr>
          <w:p w14:paraId="5377E762" w14:textId="77777777" w:rsidR="00313950" w:rsidRPr="00313950" w:rsidRDefault="00313950" w:rsidP="00313950">
            <w:pPr>
              <w:spacing w:after="160" w:line="259" w:lineRule="auto"/>
              <w:jc w:val="both"/>
            </w:pPr>
            <w:r w:rsidRPr="00313950">
              <w:t xml:space="preserve">          3,966,418 </w:t>
            </w:r>
          </w:p>
        </w:tc>
        <w:tc>
          <w:tcPr>
            <w:tcW w:w="1577" w:type="dxa"/>
            <w:hideMark/>
          </w:tcPr>
          <w:p w14:paraId="39F47A49" w14:textId="77777777" w:rsidR="00313950" w:rsidRPr="00313950" w:rsidRDefault="00313950" w:rsidP="00313950">
            <w:pPr>
              <w:spacing w:after="160" w:line="259" w:lineRule="auto"/>
              <w:jc w:val="both"/>
            </w:pPr>
            <w:r w:rsidRPr="00313950">
              <w:t xml:space="preserve">          4,203,437 </w:t>
            </w:r>
          </w:p>
        </w:tc>
      </w:tr>
      <w:tr w:rsidR="00313950" w:rsidRPr="00313950" w14:paraId="45207140" w14:textId="77777777" w:rsidTr="00313950">
        <w:trPr>
          <w:trHeight w:val="563"/>
        </w:trPr>
        <w:tc>
          <w:tcPr>
            <w:tcW w:w="1692" w:type="dxa"/>
            <w:hideMark/>
          </w:tcPr>
          <w:p w14:paraId="7F7EAA11" w14:textId="77777777" w:rsidR="00313950" w:rsidRPr="00313950" w:rsidRDefault="00313950" w:rsidP="00313950">
            <w:pPr>
              <w:spacing w:after="160" w:line="259" w:lineRule="auto"/>
              <w:jc w:val="both"/>
            </w:pPr>
          </w:p>
        </w:tc>
        <w:tc>
          <w:tcPr>
            <w:tcW w:w="1577" w:type="dxa"/>
            <w:hideMark/>
          </w:tcPr>
          <w:p w14:paraId="394F39B3" w14:textId="77777777" w:rsidR="00313950" w:rsidRPr="00313950" w:rsidRDefault="00313950" w:rsidP="00313950">
            <w:pPr>
              <w:spacing w:after="160" w:line="259" w:lineRule="auto"/>
              <w:jc w:val="both"/>
            </w:pPr>
            <w:r w:rsidRPr="00313950">
              <w:t xml:space="preserve">        30,241,009 </w:t>
            </w:r>
          </w:p>
        </w:tc>
        <w:tc>
          <w:tcPr>
            <w:tcW w:w="1537" w:type="dxa"/>
            <w:hideMark/>
          </w:tcPr>
          <w:p w14:paraId="2F6554AE" w14:textId="77777777" w:rsidR="00313950" w:rsidRPr="00313950" w:rsidRDefault="00313950" w:rsidP="00313950">
            <w:pPr>
              <w:spacing w:after="160" w:line="259" w:lineRule="auto"/>
              <w:jc w:val="both"/>
            </w:pPr>
            <w:r w:rsidRPr="00313950">
              <w:t xml:space="preserve">        32,221,083 </w:t>
            </w:r>
          </w:p>
        </w:tc>
        <w:tc>
          <w:tcPr>
            <w:tcW w:w="1577" w:type="dxa"/>
            <w:hideMark/>
          </w:tcPr>
          <w:p w14:paraId="5D6E6A15" w14:textId="77777777" w:rsidR="00313950" w:rsidRPr="00313950" w:rsidRDefault="00313950" w:rsidP="00313950">
            <w:pPr>
              <w:spacing w:after="160" w:line="259" w:lineRule="auto"/>
              <w:jc w:val="both"/>
            </w:pPr>
            <w:r w:rsidRPr="00313950">
              <w:t xml:space="preserve">        34,311,177 </w:t>
            </w:r>
          </w:p>
        </w:tc>
        <w:tc>
          <w:tcPr>
            <w:tcW w:w="1577" w:type="dxa"/>
            <w:hideMark/>
          </w:tcPr>
          <w:p w14:paraId="6FE87D6B" w14:textId="77777777" w:rsidR="00313950" w:rsidRPr="00313950" w:rsidRDefault="00313950" w:rsidP="00313950">
            <w:pPr>
              <w:spacing w:after="160" w:line="259" w:lineRule="auto"/>
              <w:jc w:val="both"/>
            </w:pPr>
            <w:r w:rsidRPr="00313950">
              <w:t xml:space="preserve">        36,516,925 </w:t>
            </w:r>
          </w:p>
        </w:tc>
      </w:tr>
    </w:tbl>
    <w:p w14:paraId="7113DFE9" w14:textId="2281DFB0" w:rsidR="00760335" w:rsidRDefault="00760335" w:rsidP="00CA7ABD">
      <w:pPr>
        <w:jc w:val="both"/>
      </w:pPr>
    </w:p>
    <w:p w14:paraId="4EA9B639" w14:textId="77777777" w:rsidR="00E37F51" w:rsidRDefault="00760335" w:rsidP="00D71436">
      <w:pPr>
        <w:pStyle w:val="Heading2"/>
      </w:pPr>
      <w:bookmarkStart w:id="16" w:name="_Toc134020510"/>
      <w:r>
        <w:t>Cost of industrial replacement of TFA</w:t>
      </w:r>
      <w:r w:rsidR="00E37F51">
        <w:t>:</w:t>
      </w:r>
      <w:bookmarkEnd w:id="16"/>
    </w:p>
    <w:p w14:paraId="6B6F2818" w14:textId="2B5B371C" w:rsidR="00760335" w:rsidRDefault="00E37F51" w:rsidP="00CA7ABD">
      <w:pPr>
        <w:jc w:val="both"/>
      </w:pPr>
      <w:r>
        <w:t>According to estimates by GAIN (20</w:t>
      </w:r>
      <w:r w:rsidR="00D71436">
        <w:t>19</w:t>
      </w:r>
      <w:r>
        <w:t>), the unit cost (operational plus capital) of vanaspati ghee production</w:t>
      </w:r>
      <w:r w:rsidR="00760335">
        <w:t xml:space="preserve"> through chemical interesterification</w:t>
      </w:r>
      <w:r>
        <w:t xml:space="preserve"> comes to US$ 42/ton at 1kg/ton catalyst usage and US$ 36/ton at 0.5 kg/ton catalyst usage, while the unit cost (operational plus capital) of vanaspati ghee production through enzymatic interesterification comes to US$ 47/ton at 0.5kg/ton catalyst usage and US$ 38/ton at 0.3 kg/ton catalyst usage.</w:t>
      </w:r>
      <w:r w:rsidR="00D71436">
        <w:t xml:space="preserve"> (GAIN 2019)</w:t>
      </w:r>
      <w:r>
        <w:t xml:space="preserve"> </w:t>
      </w:r>
    </w:p>
    <w:p w14:paraId="569CD3C0" w14:textId="60FE00CB" w:rsidR="00E468D9" w:rsidRPr="00E468D9" w:rsidRDefault="00E468D9" w:rsidP="00CA7ABD">
      <w:pPr>
        <w:pStyle w:val="Caption"/>
        <w:keepNext/>
        <w:jc w:val="both"/>
        <w:rPr>
          <w:sz w:val="20"/>
          <w:szCs w:val="20"/>
        </w:rPr>
      </w:pPr>
      <w:r w:rsidRPr="00E468D9">
        <w:rPr>
          <w:sz w:val="20"/>
          <w:szCs w:val="20"/>
        </w:rPr>
        <w:t xml:space="preserve">Table </w:t>
      </w:r>
      <w:r w:rsidRPr="00E468D9">
        <w:rPr>
          <w:sz w:val="20"/>
          <w:szCs w:val="20"/>
        </w:rPr>
        <w:fldChar w:fldCharType="begin"/>
      </w:r>
      <w:r w:rsidRPr="00E468D9">
        <w:rPr>
          <w:sz w:val="20"/>
          <w:szCs w:val="20"/>
        </w:rPr>
        <w:instrText xml:space="preserve"> SEQ Table \* ARABIC </w:instrText>
      </w:r>
      <w:r w:rsidRPr="00E468D9">
        <w:rPr>
          <w:sz w:val="20"/>
          <w:szCs w:val="20"/>
        </w:rPr>
        <w:fldChar w:fldCharType="separate"/>
      </w:r>
      <w:r w:rsidR="00313950">
        <w:rPr>
          <w:noProof/>
          <w:sz w:val="20"/>
          <w:szCs w:val="20"/>
        </w:rPr>
        <w:t>7</w:t>
      </w:r>
      <w:r w:rsidRPr="00E468D9">
        <w:rPr>
          <w:sz w:val="20"/>
          <w:szCs w:val="20"/>
        </w:rPr>
        <w:fldChar w:fldCharType="end"/>
      </w:r>
      <w:r w:rsidR="00B4123C">
        <w:rPr>
          <w:sz w:val="20"/>
          <w:szCs w:val="20"/>
        </w:rPr>
        <w:t>:</w:t>
      </w:r>
      <w:r w:rsidRPr="00E468D9">
        <w:rPr>
          <w:sz w:val="20"/>
          <w:szCs w:val="20"/>
        </w:rPr>
        <w:t xml:space="preserve"> Unit costs of industrial replacement of TFA in Pakistan through chemical and enzymatic interesterification</w:t>
      </w:r>
    </w:p>
    <w:tbl>
      <w:tblPr>
        <w:tblStyle w:val="GridTable4-Accent3"/>
        <w:tblW w:w="8910" w:type="dxa"/>
        <w:tblLook w:val="04A0" w:firstRow="1" w:lastRow="0" w:firstColumn="1" w:lastColumn="0" w:noHBand="0" w:noVBand="1"/>
      </w:tblPr>
      <w:tblGrid>
        <w:gridCol w:w="1442"/>
        <w:gridCol w:w="1867"/>
        <w:gridCol w:w="1867"/>
        <w:gridCol w:w="1867"/>
        <w:gridCol w:w="1867"/>
      </w:tblGrid>
      <w:tr w:rsidR="000E4CB6" w:rsidRPr="00760335" w14:paraId="43833522" w14:textId="77777777" w:rsidTr="00E468D9">
        <w:trPr>
          <w:cnfStyle w:val="100000000000" w:firstRow="1" w:lastRow="0" w:firstColumn="0" w:lastColumn="0" w:oddVBand="0" w:evenVBand="0" w:oddHBand="0"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442" w:type="dxa"/>
            <w:hideMark/>
          </w:tcPr>
          <w:p w14:paraId="34DD252A" w14:textId="77777777" w:rsidR="00760335" w:rsidRPr="00760335" w:rsidRDefault="00760335" w:rsidP="00CA7ABD">
            <w:pPr>
              <w:spacing w:line="259" w:lineRule="auto"/>
              <w:jc w:val="both"/>
            </w:pPr>
            <w:r w:rsidRPr="00760335">
              <w:t>COST</w:t>
            </w:r>
          </w:p>
        </w:tc>
        <w:tc>
          <w:tcPr>
            <w:tcW w:w="1867" w:type="dxa"/>
            <w:hideMark/>
          </w:tcPr>
          <w:p w14:paraId="22E792A7" w14:textId="77777777" w:rsidR="00760335" w:rsidRPr="00760335" w:rsidRDefault="00760335" w:rsidP="00CA7ABD">
            <w:pPr>
              <w:spacing w:line="259" w:lineRule="auto"/>
              <w:jc w:val="both"/>
              <w:cnfStyle w:val="100000000000" w:firstRow="1" w:lastRow="0" w:firstColumn="0" w:lastColumn="0" w:oddVBand="0" w:evenVBand="0" w:oddHBand="0" w:evenHBand="0" w:firstRowFirstColumn="0" w:firstRowLastColumn="0" w:lastRowFirstColumn="0" w:lastRowLastColumn="0"/>
            </w:pPr>
            <w:r w:rsidRPr="00760335">
              <w:t>Chemical Interesterification</w:t>
            </w:r>
          </w:p>
        </w:tc>
        <w:tc>
          <w:tcPr>
            <w:tcW w:w="1867" w:type="dxa"/>
            <w:hideMark/>
          </w:tcPr>
          <w:p w14:paraId="28F1D4B4" w14:textId="77777777" w:rsidR="00760335" w:rsidRPr="00760335" w:rsidRDefault="00760335" w:rsidP="00CA7ABD">
            <w:pPr>
              <w:spacing w:line="259" w:lineRule="auto"/>
              <w:jc w:val="both"/>
              <w:cnfStyle w:val="100000000000" w:firstRow="1" w:lastRow="0" w:firstColumn="0" w:lastColumn="0" w:oddVBand="0" w:evenVBand="0" w:oddHBand="0" w:evenHBand="0" w:firstRowFirstColumn="0" w:firstRowLastColumn="0" w:lastRowFirstColumn="0" w:lastRowLastColumn="0"/>
            </w:pPr>
            <w:r w:rsidRPr="00760335">
              <w:t>Chemical Interesterification</w:t>
            </w:r>
          </w:p>
        </w:tc>
        <w:tc>
          <w:tcPr>
            <w:tcW w:w="1867" w:type="dxa"/>
            <w:hideMark/>
          </w:tcPr>
          <w:p w14:paraId="6079D488" w14:textId="77777777" w:rsidR="00760335" w:rsidRPr="00760335" w:rsidRDefault="00760335" w:rsidP="00CA7ABD">
            <w:pPr>
              <w:spacing w:line="259" w:lineRule="auto"/>
              <w:jc w:val="both"/>
              <w:cnfStyle w:val="100000000000" w:firstRow="1" w:lastRow="0" w:firstColumn="0" w:lastColumn="0" w:oddVBand="0" w:evenVBand="0" w:oddHBand="0" w:evenHBand="0" w:firstRowFirstColumn="0" w:firstRowLastColumn="0" w:lastRowFirstColumn="0" w:lastRowLastColumn="0"/>
            </w:pPr>
            <w:r w:rsidRPr="00760335">
              <w:t>Enzymatic Interesterification</w:t>
            </w:r>
          </w:p>
        </w:tc>
        <w:tc>
          <w:tcPr>
            <w:tcW w:w="1867" w:type="dxa"/>
            <w:hideMark/>
          </w:tcPr>
          <w:p w14:paraId="3CDB48C3" w14:textId="77777777" w:rsidR="00760335" w:rsidRPr="00760335" w:rsidRDefault="00760335" w:rsidP="00CA7ABD">
            <w:pPr>
              <w:spacing w:line="259" w:lineRule="auto"/>
              <w:jc w:val="both"/>
              <w:cnfStyle w:val="100000000000" w:firstRow="1" w:lastRow="0" w:firstColumn="0" w:lastColumn="0" w:oddVBand="0" w:evenVBand="0" w:oddHBand="0" w:evenHBand="0" w:firstRowFirstColumn="0" w:firstRowLastColumn="0" w:lastRowFirstColumn="0" w:lastRowLastColumn="0"/>
            </w:pPr>
            <w:r w:rsidRPr="00760335">
              <w:t>Enzymatic Interesterification</w:t>
            </w:r>
          </w:p>
        </w:tc>
      </w:tr>
      <w:tr w:rsidR="000E4CB6" w:rsidRPr="00760335" w14:paraId="73B797CE" w14:textId="77777777" w:rsidTr="00E468D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442" w:type="dxa"/>
            <w:hideMark/>
          </w:tcPr>
          <w:p w14:paraId="1B9A4075" w14:textId="77777777" w:rsidR="00760335" w:rsidRPr="00760335" w:rsidRDefault="00760335" w:rsidP="00CA7ABD">
            <w:pPr>
              <w:spacing w:line="259" w:lineRule="auto"/>
              <w:jc w:val="both"/>
            </w:pPr>
            <w:r w:rsidRPr="00760335">
              <w:t>Catalyst usage kg/ton</w:t>
            </w:r>
          </w:p>
        </w:tc>
        <w:tc>
          <w:tcPr>
            <w:tcW w:w="1867" w:type="dxa"/>
            <w:hideMark/>
          </w:tcPr>
          <w:p w14:paraId="07A77996"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1</w:t>
            </w:r>
          </w:p>
        </w:tc>
        <w:tc>
          <w:tcPr>
            <w:tcW w:w="1867" w:type="dxa"/>
            <w:hideMark/>
          </w:tcPr>
          <w:p w14:paraId="3EF021FF"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0.5</w:t>
            </w:r>
          </w:p>
        </w:tc>
        <w:tc>
          <w:tcPr>
            <w:tcW w:w="1867" w:type="dxa"/>
            <w:hideMark/>
          </w:tcPr>
          <w:p w14:paraId="1D54F773"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0.5</w:t>
            </w:r>
          </w:p>
        </w:tc>
        <w:tc>
          <w:tcPr>
            <w:tcW w:w="1867" w:type="dxa"/>
            <w:hideMark/>
          </w:tcPr>
          <w:p w14:paraId="5FA5B903"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0.3</w:t>
            </w:r>
          </w:p>
        </w:tc>
      </w:tr>
      <w:tr w:rsidR="00760335" w:rsidRPr="00760335" w14:paraId="2BE5D433" w14:textId="77777777" w:rsidTr="00E468D9">
        <w:trPr>
          <w:trHeight w:val="1221"/>
        </w:trPr>
        <w:tc>
          <w:tcPr>
            <w:cnfStyle w:val="001000000000" w:firstRow="0" w:lastRow="0" w:firstColumn="1" w:lastColumn="0" w:oddVBand="0" w:evenVBand="0" w:oddHBand="0" w:evenHBand="0" w:firstRowFirstColumn="0" w:firstRowLastColumn="0" w:lastRowFirstColumn="0" w:lastRowLastColumn="0"/>
            <w:tcW w:w="1442" w:type="dxa"/>
            <w:hideMark/>
          </w:tcPr>
          <w:p w14:paraId="6547B35E" w14:textId="77777777" w:rsidR="00760335" w:rsidRPr="00760335" w:rsidRDefault="00760335" w:rsidP="00CA7ABD">
            <w:pPr>
              <w:spacing w:line="259" w:lineRule="auto"/>
              <w:jc w:val="both"/>
            </w:pPr>
            <w:r w:rsidRPr="00760335">
              <w:t>Operating Expenditure US$/ton</w:t>
            </w:r>
          </w:p>
        </w:tc>
        <w:tc>
          <w:tcPr>
            <w:tcW w:w="1867" w:type="dxa"/>
            <w:hideMark/>
          </w:tcPr>
          <w:p w14:paraId="0AB90EF8"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27</w:t>
            </w:r>
          </w:p>
        </w:tc>
        <w:tc>
          <w:tcPr>
            <w:tcW w:w="1867" w:type="dxa"/>
            <w:hideMark/>
          </w:tcPr>
          <w:p w14:paraId="787FF032"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21</w:t>
            </w:r>
          </w:p>
        </w:tc>
        <w:tc>
          <w:tcPr>
            <w:tcW w:w="1867" w:type="dxa"/>
            <w:hideMark/>
          </w:tcPr>
          <w:p w14:paraId="5F2E9F87"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35</w:t>
            </w:r>
          </w:p>
        </w:tc>
        <w:tc>
          <w:tcPr>
            <w:tcW w:w="1867" w:type="dxa"/>
            <w:hideMark/>
          </w:tcPr>
          <w:p w14:paraId="1AAAF781"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24</w:t>
            </w:r>
          </w:p>
        </w:tc>
      </w:tr>
      <w:tr w:rsidR="000E4CB6" w:rsidRPr="00760335" w14:paraId="6E5AE81C" w14:textId="77777777" w:rsidTr="00E468D9">
        <w:trPr>
          <w:cnfStyle w:val="000000100000" w:firstRow="0" w:lastRow="0" w:firstColumn="0" w:lastColumn="0" w:oddVBand="0" w:evenVBand="0" w:oddHBand="1"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1442" w:type="dxa"/>
            <w:hideMark/>
          </w:tcPr>
          <w:p w14:paraId="2B0A752E" w14:textId="77777777" w:rsidR="00760335" w:rsidRPr="00760335" w:rsidRDefault="00760335" w:rsidP="00CA7ABD">
            <w:pPr>
              <w:spacing w:line="259" w:lineRule="auto"/>
              <w:jc w:val="both"/>
            </w:pPr>
            <w:r w:rsidRPr="00760335">
              <w:t>Capital Expenditure US$/</w:t>
            </w:r>
            <w:proofErr w:type="gramStart"/>
            <w:r w:rsidRPr="00760335">
              <w:t>ton</w:t>
            </w:r>
            <w:proofErr w:type="gramEnd"/>
          </w:p>
          <w:p w14:paraId="4B3E3895" w14:textId="77777777" w:rsidR="00760335" w:rsidRPr="00760335" w:rsidRDefault="00760335" w:rsidP="00CA7ABD">
            <w:pPr>
              <w:spacing w:line="259" w:lineRule="auto"/>
              <w:jc w:val="both"/>
            </w:pPr>
            <w:r w:rsidRPr="00760335">
              <w:t>(5-year depreciation)</w:t>
            </w:r>
          </w:p>
        </w:tc>
        <w:tc>
          <w:tcPr>
            <w:tcW w:w="1867" w:type="dxa"/>
            <w:hideMark/>
          </w:tcPr>
          <w:p w14:paraId="2D0D81EC"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15</w:t>
            </w:r>
          </w:p>
        </w:tc>
        <w:tc>
          <w:tcPr>
            <w:tcW w:w="1867" w:type="dxa"/>
            <w:hideMark/>
          </w:tcPr>
          <w:p w14:paraId="7A3E13BF"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15</w:t>
            </w:r>
          </w:p>
        </w:tc>
        <w:tc>
          <w:tcPr>
            <w:tcW w:w="1867" w:type="dxa"/>
            <w:hideMark/>
          </w:tcPr>
          <w:p w14:paraId="3A887E7F"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12</w:t>
            </w:r>
          </w:p>
        </w:tc>
        <w:tc>
          <w:tcPr>
            <w:tcW w:w="1867" w:type="dxa"/>
            <w:hideMark/>
          </w:tcPr>
          <w:p w14:paraId="2169AE92" w14:textId="77777777" w:rsidR="00760335" w:rsidRPr="00760335" w:rsidRDefault="00760335"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760335">
              <w:t>14</w:t>
            </w:r>
          </w:p>
        </w:tc>
      </w:tr>
      <w:tr w:rsidR="00760335" w:rsidRPr="00760335" w14:paraId="0D756385" w14:textId="77777777" w:rsidTr="00E468D9">
        <w:trPr>
          <w:trHeight w:val="808"/>
        </w:trPr>
        <w:tc>
          <w:tcPr>
            <w:cnfStyle w:val="001000000000" w:firstRow="0" w:lastRow="0" w:firstColumn="1" w:lastColumn="0" w:oddVBand="0" w:evenVBand="0" w:oddHBand="0" w:evenHBand="0" w:firstRowFirstColumn="0" w:firstRowLastColumn="0" w:lastRowFirstColumn="0" w:lastRowLastColumn="0"/>
            <w:tcW w:w="1442" w:type="dxa"/>
            <w:hideMark/>
          </w:tcPr>
          <w:p w14:paraId="3087688B" w14:textId="77777777" w:rsidR="00760335" w:rsidRPr="00760335" w:rsidRDefault="00760335" w:rsidP="00CA7ABD">
            <w:pPr>
              <w:spacing w:line="259" w:lineRule="auto"/>
              <w:jc w:val="both"/>
            </w:pPr>
            <w:r w:rsidRPr="00760335">
              <w:t>Total (US$/ton)</w:t>
            </w:r>
          </w:p>
        </w:tc>
        <w:tc>
          <w:tcPr>
            <w:tcW w:w="1867" w:type="dxa"/>
            <w:hideMark/>
          </w:tcPr>
          <w:p w14:paraId="55C26566"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42</w:t>
            </w:r>
          </w:p>
        </w:tc>
        <w:tc>
          <w:tcPr>
            <w:tcW w:w="1867" w:type="dxa"/>
            <w:hideMark/>
          </w:tcPr>
          <w:p w14:paraId="1DB8F025"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36</w:t>
            </w:r>
          </w:p>
        </w:tc>
        <w:tc>
          <w:tcPr>
            <w:tcW w:w="1867" w:type="dxa"/>
            <w:hideMark/>
          </w:tcPr>
          <w:p w14:paraId="5AE1791B"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47</w:t>
            </w:r>
          </w:p>
        </w:tc>
        <w:tc>
          <w:tcPr>
            <w:tcW w:w="1867" w:type="dxa"/>
            <w:hideMark/>
          </w:tcPr>
          <w:p w14:paraId="16EFED75" w14:textId="77777777" w:rsidR="00760335" w:rsidRPr="00760335" w:rsidRDefault="00760335"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760335">
              <w:t>38</w:t>
            </w:r>
          </w:p>
        </w:tc>
      </w:tr>
    </w:tbl>
    <w:p w14:paraId="27990673" w14:textId="68255F0A" w:rsidR="00760335" w:rsidRDefault="00760335" w:rsidP="00CA7ABD">
      <w:pPr>
        <w:jc w:val="both"/>
      </w:pPr>
    </w:p>
    <w:p w14:paraId="7CBBE41C" w14:textId="18C807C7" w:rsidR="00760335" w:rsidRDefault="00E37F51" w:rsidP="00CA7ABD">
      <w:pPr>
        <w:jc w:val="both"/>
      </w:pPr>
      <w:r>
        <w:t xml:space="preserve">Based on these unit costs, at 2021 PHO production volume estimates from the PHO industry in Pakistan, the total </w:t>
      </w:r>
      <w:r w:rsidR="00E468D9">
        <w:t xml:space="preserve">annual </w:t>
      </w:r>
      <w:r>
        <w:t xml:space="preserve">industrial cost for TFA replacement through chemical interesterification is estimated at US$ 14,142,060, while the total </w:t>
      </w:r>
      <w:r w:rsidR="00E468D9">
        <w:t xml:space="preserve">annual </w:t>
      </w:r>
      <w:r>
        <w:t xml:space="preserve">industrial cost for TFA replacement through enzymatic interesterification is estimated at US$ 14,927,730. </w:t>
      </w:r>
    </w:p>
    <w:p w14:paraId="426F2DBA" w14:textId="3E3A06A5" w:rsidR="00760335" w:rsidRDefault="00760335" w:rsidP="00CA7ABD">
      <w:pPr>
        <w:jc w:val="both"/>
      </w:pPr>
    </w:p>
    <w:p w14:paraId="711E8717" w14:textId="4D53DB3D" w:rsidR="00E468D9" w:rsidRDefault="00E468D9" w:rsidP="00CA7ABD">
      <w:pPr>
        <w:pStyle w:val="Caption"/>
        <w:keepNext/>
        <w:jc w:val="both"/>
      </w:pPr>
      <w:r>
        <w:t xml:space="preserve">Table </w:t>
      </w:r>
      <w:r w:rsidR="00F43849">
        <w:fldChar w:fldCharType="begin"/>
      </w:r>
      <w:r w:rsidR="00F43849">
        <w:instrText xml:space="preserve"> SEQ Table \</w:instrText>
      </w:r>
      <w:r w:rsidR="00F43849">
        <w:instrText xml:space="preserve">* ARABIC </w:instrText>
      </w:r>
      <w:r w:rsidR="00F43849">
        <w:fldChar w:fldCharType="separate"/>
      </w:r>
      <w:r w:rsidR="00313950">
        <w:rPr>
          <w:noProof/>
        </w:rPr>
        <w:t>8</w:t>
      </w:r>
      <w:r w:rsidR="00F43849">
        <w:rPr>
          <w:noProof/>
        </w:rPr>
        <w:fldChar w:fldCharType="end"/>
      </w:r>
      <w:r w:rsidR="00B4123C">
        <w:rPr>
          <w:noProof/>
        </w:rPr>
        <w:t>:</w:t>
      </w:r>
      <w:r>
        <w:t xml:space="preserve"> </w:t>
      </w:r>
      <w:r w:rsidRPr="000C0FD4">
        <w:t>Annual cost of TFA industrial replacement options</w:t>
      </w:r>
    </w:p>
    <w:tbl>
      <w:tblPr>
        <w:tblStyle w:val="GridTable4-Accent3"/>
        <w:tblW w:w="7772" w:type="dxa"/>
        <w:tblLook w:val="04A0" w:firstRow="1" w:lastRow="0" w:firstColumn="1" w:lastColumn="0" w:noHBand="0" w:noVBand="1"/>
      </w:tblPr>
      <w:tblGrid>
        <w:gridCol w:w="5124"/>
        <w:gridCol w:w="2648"/>
      </w:tblGrid>
      <w:tr w:rsidR="00E37F51" w:rsidRPr="00E37F51" w14:paraId="2C8A631C" w14:textId="77777777" w:rsidTr="00E37F51">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124" w:type="dxa"/>
            <w:hideMark/>
          </w:tcPr>
          <w:p w14:paraId="65ECCDB3" w14:textId="77777777" w:rsidR="00E37F51" w:rsidRPr="00E37F51" w:rsidRDefault="00E37F51" w:rsidP="00CA7ABD">
            <w:pPr>
              <w:spacing w:line="259" w:lineRule="auto"/>
              <w:jc w:val="both"/>
            </w:pPr>
            <w:r w:rsidRPr="00E37F51">
              <w:t xml:space="preserve">Replacement options </w:t>
            </w:r>
          </w:p>
        </w:tc>
        <w:tc>
          <w:tcPr>
            <w:tcW w:w="2648" w:type="dxa"/>
            <w:hideMark/>
          </w:tcPr>
          <w:p w14:paraId="489C3AD9" w14:textId="77777777" w:rsidR="00E37F51" w:rsidRPr="00E37F51" w:rsidRDefault="00E37F51" w:rsidP="00CA7ABD">
            <w:pPr>
              <w:spacing w:line="259" w:lineRule="auto"/>
              <w:jc w:val="both"/>
              <w:cnfStyle w:val="100000000000" w:firstRow="1" w:lastRow="0" w:firstColumn="0" w:lastColumn="0" w:oddVBand="0" w:evenVBand="0" w:oddHBand="0" w:evenHBand="0" w:firstRowFirstColumn="0" w:firstRowLastColumn="0" w:lastRowFirstColumn="0" w:lastRowLastColumn="0"/>
            </w:pPr>
            <w:r w:rsidRPr="00E37F51">
              <w:t>Costs (at 2021 production estimates)</w:t>
            </w:r>
          </w:p>
        </w:tc>
      </w:tr>
      <w:tr w:rsidR="00E37F51" w:rsidRPr="00E37F51" w14:paraId="75B71A41" w14:textId="77777777" w:rsidTr="00E37F5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124" w:type="dxa"/>
            <w:hideMark/>
          </w:tcPr>
          <w:p w14:paraId="5408FF90" w14:textId="77777777" w:rsidR="00E37F51" w:rsidRPr="00E37F51" w:rsidRDefault="00E37F51" w:rsidP="00CA7ABD">
            <w:pPr>
              <w:spacing w:line="259" w:lineRule="auto"/>
              <w:jc w:val="both"/>
            </w:pPr>
            <w:r w:rsidRPr="00E37F51">
              <w:t>Annual Vanaspati production (tons)</w:t>
            </w:r>
          </w:p>
        </w:tc>
        <w:tc>
          <w:tcPr>
            <w:tcW w:w="2648" w:type="dxa"/>
            <w:hideMark/>
          </w:tcPr>
          <w:p w14:paraId="784121B5" w14:textId="77777777" w:rsidR="00E37F51" w:rsidRPr="00E37F51" w:rsidRDefault="00E37F51"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E37F51">
              <w:t>392,835</w:t>
            </w:r>
          </w:p>
        </w:tc>
      </w:tr>
      <w:tr w:rsidR="00E37F51" w:rsidRPr="00E37F51" w14:paraId="02DD36DA" w14:textId="77777777" w:rsidTr="00E37F51">
        <w:trPr>
          <w:trHeight w:val="993"/>
        </w:trPr>
        <w:tc>
          <w:tcPr>
            <w:cnfStyle w:val="001000000000" w:firstRow="0" w:lastRow="0" w:firstColumn="1" w:lastColumn="0" w:oddVBand="0" w:evenVBand="0" w:oddHBand="0" w:evenHBand="0" w:firstRowFirstColumn="0" w:firstRowLastColumn="0" w:lastRowFirstColumn="0" w:lastRowLastColumn="0"/>
            <w:tcW w:w="5124" w:type="dxa"/>
            <w:hideMark/>
          </w:tcPr>
          <w:p w14:paraId="0C773969" w14:textId="77777777" w:rsidR="00E37F51" w:rsidRPr="00E37F51" w:rsidRDefault="00E37F51" w:rsidP="00CA7ABD">
            <w:pPr>
              <w:spacing w:line="259" w:lineRule="auto"/>
              <w:jc w:val="both"/>
            </w:pPr>
            <w:r w:rsidRPr="00E37F51">
              <w:t>Chemical interesterification capital cost (US$/ton) (0.5 kg/ton catalyst usage)</w:t>
            </w:r>
          </w:p>
        </w:tc>
        <w:tc>
          <w:tcPr>
            <w:tcW w:w="2648" w:type="dxa"/>
            <w:hideMark/>
          </w:tcPr>
          <w:p w14:paraId="54E2261E" w14:textId="77777777" w:rsidR="00E37F51" w:rsidRPr="00E37F51" w:rsidRDefault="00E37F51"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E37F51">
              <w:t>15</w:t>
            </w:r>
          </w:p>
        </w:tc>
      </w:tr>
      <w:tr w:rsidR="00E37F51" w:rsidRPr="00E37F51" w14:paraId="39A117F7" w14:textId="77777777" w:rsidTr="00E37F5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5124" w:type="dxa"/>
            <w:hideMark/>
          </w:tcPr>
          <w:p w14:paraId="7B8DF686" w14:textId="77777777" w:rsidR="00E37F51" w:rsidRPr="00E37F51" w:rsidRDefault="00E37F51" w:rsidP="00CA7ABD">
            <w:pPr>
              <w:spacing w:line="259" w:lineRule="auto"/>
              <w:jc w:val="both"/>
            </w:pPr>
            <w:r w:rsidRPr="00E37F51">
              <w:t>Chemical interesterification operational cost (US$/ton) (0.5 kg/ton catalyst usage)</w:t>
            </w:r>
          </w:p>
        </w:tc>
        <w:tc>
          <w:tcPr>
            <w:tcW w:w="2648" w:type="dxa"/>
            <w:hideMark/>
          </w:tcPr>
          <w:p w14:paraId="10376EC4" w14:textId="77777777" w:rsidR="00E37F51" w:rsidRPr="00E37F51" w:rsidRDefault="00E37F51"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E37F51">
              <w:t>21</w:t>
            </w:r>
          </w:p>
        </w:tc>
      </w:tr>
      <w:tr w:rsidR="00E37F51" w:rsidRPr="00E37F51" w14:paraId="35544070" w14:textId="77777777" w:rsidTr="00E37F51">
        <w:trPr>
          <w:trHeight w:val="993"/>
        </w:trPr>
        <w:tc>
          <w:tcPr>
            <w:cnfStyle w:val="001000000000" w:firstRow="0" w:lastRow="0" w:firstColumn="1" w:lastColumn="0" w:oddVBand="0" w:evenVBand="0" w:oddHBand="0" w:evenHBand="0" w:firstRowFirstColumn="0" w:firstRowLastColumn="0" w:lastRowFirstColumn="0" w:lastRowLastColumn="0"/>
            <w:tcW w:w="5124" w:type="dxa"/>
            <w:hideMark/>
          </w:tcPr>
          <w:p w14:paraId="7421327F" w14:textId="77777777" w:rsidR="00E37F51" w:rsidRPr="00E37F51" w:rsidRDefault="00E37F51" w:rsidP="00CA7ABD">
            <w:pPr>
              <w:spacing w:line="259" w:lineRule="auto"/>
              <w:jc w:val="both"/>
            </w:pPr>
            <w:r w:rsidRPr="00E37F51">
              <w:t>Chemical interesterification (annual production cost for industry) US$ (capital + operational)</w:t>
            </w:r>
          </w:p>
        </w:tc>
        <w:tc>
          <w:tcPr>
            <w:tcW w:w="2648" w:type="dxa"/>
            <w:hideMark/>
          </w:tcPr>
          <w:p w14:paraId="389B3530" w14:textId="77777777" w:rsidR="00E37F51" w:rsidRPr="00E37F51" w:rsidRDefault="00E37F51"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E37F51">
              <w:t>14,142,060</w:t>
            </w:r>
          </w:p>
        </w:tc>
      </w:tr>
      <w:tr w:rsidR="00E37F51" w:rsidRPr="00E37F51" w14:paraId="65D5B106" w14:textId="77777777" w:rsidTr="00E37F5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5124" w:type="dxa"/>
            <w:hideMark/>
          </w:tcPr>
          <w:p w14:paraId="7C38E5E5" w14:textId="77777777" w:rsidR="00E37F51" w:rsidRPr="00E37F51" w:rsidRDefault="00E37F51" w:rsidP="00CA7ABD">
            <w:pPr>
              <w:spacing w:line="259" w:lineRule="auto"/>
              <w:jc w:val="both"/>
            </w:pPr>
            <w:r w:rsidRPr="00E37F51">
              <w:t>Enzymatic interesterification capital cost US$/ton (including chromatographic silica)</w:t>
            </w:r>
          </w:p>
        </w:tc>
        <w:tc>
          <w:tcPr>
            <w:tcW w:w="2648" w:type="dxa"/>
            <w:hideMark/>
          </w:tcPr>
          <w:p w14:paraId="2DD880E6" w14:textId="77777777" w:rsidR="00E37F51" w:rsidRPr="00E37F51" w:rsidRDefault="00E37F51"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E37F51">
              <w:t>14</w:t>
            </w:r>
          </w:p>
        </w:tc>
      </w:tr>
      <w:tr w:rsidR="00E37F51" w:rsidRPr="00E37F51" w14:paraId="2068E2FB" w14:textId="77777777" w:rsidTr="00E37F51">
        <w:trPr>
          <w:trHeight w:val="993"/>
        </w:trPr>
        <w:tc>
          <w:tcPr>
            <w:cnfStyle w:val="001000000000" w:firstRow="0" w:lastRow="0" w:firstColumn="1" w:lastColumn="0" w:oddVBand="0" w:evenVBand="0" w:oddHBand="0" w:evenHBand="0" w:firstRowFirstColumn="0" w:firstRowLastColumn="0" w:lastRowFirstColumn="0" w:lastRowLastColumn="0"/>
            <w:tcW w:w="5124" w:type="dxa"/>
            <w:hideMark/>
          </w:tcPr>
          <w:p w14:paraId="51F5193B" w14:textId="77777777" w:rsidR="00E37F51" w:rsidRPr="00E37F51" w:rsidRDefault="00E37F51" w:rsidP="00CA7ABD">
            <w:pPr>
              <w:spacing w:line="259" w:lineRule="auto"/>
              <w:jc w:val="both"/>
            </w:pPr>
            <w:r w:rsidRPr="00E37F51">
              <w:t>Enzymatic interesterification operational cost (US$/ton) (0.5 kg/ton catalyst usage)</w:t>
            </w:r>
          </w:p>
        </w:tc>
        <w:tc>
          <w:tcPr>
            <w:tcW w:w="2648" w:type="dxa"/>
            <w:hideMark/>
          </w:tcPr>
          <w:p w14:paraId="42D5D569" w14:textId="77777777" w:rsidR="00E37F51" w:rsidRPr="00E37F51" w:rsidRDefault="00E37F51" w:rsidP="00CA7ABD">
            <w:pPr>
              <w:spacing w:line="259" w:lineRule="auto"/>
              <w:jc w:val="both"/>
              <w:cnfStyle w:val="000000000000" w:firstRow="0" w:lastRow="0" w:firstColumn="0" w:lastColumn="0" w:oddVBand="0" w:evenVBand="0" w:oddHBand="0" w:evenHBand="0" w:firstRowFirstColumn="0" w:firstRowLastColumn="0" w:lastRowFirstColumn="0" w:lastRowLastColumn="0"/>
            </w:pPr>
            <w:r w:rsidRPr="00E37F51">
              <w:t>24</w:t>
            </w:r>
          </w:p>
        </w:tc>
      </w:tr>
      <w:tr w:rsidR="00E37F51" w:rsidRPr="00E37F51" w14:paraId="6A4B4888" w14:textId="77777777" w:rsidTr="00E37F5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5124" w:type="dxa"/>
            <w:hideMark/>
          </w:tcPr>
          <w:p w14:paraId="72D875BF" w14:textId="77777777" w:rsidR="00E37F51" w:rsidRPr="00E37F51" w:rsidRDefault="00E37F51" w:rsidP="00CA7ABD">
            <w:pPr>
              <w:spacing w:line="259" w:lineRule="auto"/>
              <w:jc w:val="both"/>
            </w:pPr>
            <w:r w:rsidRPr="00E37F51">
              <w:t>Enzymatic interesterification (production cost for industry) US$ million (capital + operational)</w:t>
            </w:r>
          </w:p>
        </w:tc>
        <w:tc>
          <w:tcPr>
            <w:tcW w:w="2648" w:type="dxa"/>
            <w:hideMark/>
          </w:tcPr>
          <w:p w14:paraId="752A13EC" w14:textId="77777777" w:rsidR="00E37F51" w:rsidRPr="00E37F51" w:rsidRDefault="00E37F51" w:rsidP="00CA7ABD">
            <w:pPr>
              <w:spacing w:line="259" w:lineRule="auto"/>
              <w:jc w:val="both"/>
              <w:cnfStyle w:val="000000100000" w:firstRow="0" w:lastRow="0" w:firstColumn="0" w:lastColumn="0" w:oddVBand="0" w:evenVBand="0" w:oddHBand="1" w:evenHBand="0" w:firstRowFirstColumn="0" w:firstRowLastColumn="0" w:lastRowFirstColumn="0" w:lastRowLastColumn="0"/>
            </w:pPr>
            <w:r w:rsidRPr="00E37F51">
              <w:t>14,927,730</w:t>
            </w:r>
          </w:p>
        </w:tc>
      </w:tr>
    </w:tbl>
    <w:p w14:paraId="531DCC1F" w14:textId="3A09EEA2" w:rsidR="00760335" w:rsidRDefault="00760335" w:rsidP="00CA7ABD">
      <w:pPr>
        <w:jc w:val="both"/>
      </w:pPr>
    </w:p>
    <w:p w14:paraId="2A148310" w14:textId="6FF4B7DA" w:rsidR="00713681" w:rsidRDefault="00713681" w:rsidP="00CA7ABD">
      <w:pPr>
        <w:jc w:val="both"/>
      </w:pPr>
    </w:p>
    <w:p w14:paraId="7A669152" w14:textId="14D92E15" w:rsidR="00713681" w:rsidRDefault="00713681" w:rsidP="0080034A">
      <w:pPr>
        <w:pStyle w:val="Heading1"/>
      </w:pPr>
      <w:bookmarkStart w:id="17" w:name="_Toc134020511"/>
      <w:r>
        <w:t>Discussion:</w:t>
      </w:r>
      <w:bookmarkEnd w:id="17"/>
    </w:p>
    <w:p w14:paraId="184AA23B" w14:textId="180E3E93" w:rsidR="00713681" w:rsidRDefault="007D6855" w:rsidP="00CA7ABD">
      <w:pPr>
        <w:jc w:val="both"/>
      </w:pPr>
      <w:r>
        <w:t xml:space="preserve">As a country with the second highest intake of trans fat in the WHO-EMRO Region, </w:t>
      </w:r>
      <w:proofErr w:type="gramStart"/>
      <w:r w:rsidR="00B96312">
        <w:t>a large number of</w:t>
      </w:r>
      <w:proofErr w:type="gramEnd"/>
      <w:r w:rsidR="00B96312">
        <w:t xml:space="preserve"> CVD deaths in Pakistan – </w:t>
      </w:r>
      <w:r w:rsidR="002C0725">
        <w:t>17,455 deaths in 2019 –</w:t>
      </w:r>
      <w:r w:rsidR="00B96312">
        <w:t xml:space="preserve"> are attributable to high </w:t>
      </w:r>
      <w:proofErr w:type="spellStart"/>
      <w:r w:rsidR="00B96312">
        <w:t>trans fat</w:t>
      </w:r>
      <w:proofErr w:type="spellEnd"/>
      <w:r w:rsidR="00B96312">
        <w:t xml:space="preserve"> intake</w:t>
      </w:r>
      <w:r w:rsidR="002C0725">
        <w:t>, which also leads to 556,851 YLLs lost, and annual productivity losses of $459 million owing to premature mortality from CVD.</w:t>
      </w:r>
      <w:r w:rsidR="00B96312">
        <w:t xml:space="preserve"> </w:t>
      </w:r>
      <w:r w:rsidR="00D27D9C">
        <w:t xml:space="preserve">Multiple countries with previously high </w:t>
      </w:r>
      <w:proofErr w:type="spellStart"/>
      <w:r w:rsidR="00D27D9C">
        <w:t>trans fat</w:t>
      </w:r>
      <w:proofErr w:type="spellEnd"/>
      <w:r w:rsidR="00D27D9C">
        <w:t xml:space="preserve"> consumptions from around the world have acted to remove TFA from their food products through regulatory action and PHO ban. </w:t>
      </w:r>
      <w:r w:rsidR="002E53AC">
        <w:t xml:space="preserve">Given </w:t>
      </w:r>
      <w:r w:rsidR="00A13D63">
        <w:t>that 98% of trans fats consumed in Pakistan are produced in the country, primarily through the vanaspati ghee industry (Tarar, 20</w:t>
      </w:r>
      <w:r w:rsidR="00EF57C0">
        <w:t>20</w:t>
      </w:r>
      <w:r w:rsidR="00A13D63">
        <w:t xml:space="preserve">), </w:t>
      </w:r>
      <w:r w:rsidR="002C0725">
        <w:t xml:space="preserve">the simplest policy solution achieve TFA replacement in the food supply is the proposed ban on </w:t>
      </w:r>
      <w:proofErr w:type="gramStart"/>
      <w:r w:rsidR="002C0725">
        <w:t>partially-hydrogenated</w:t>
      </w:r>
      <w:proofErr w:type="gramEnd"/>
      <w:r w:rsidR="002C0725">
        <w:t xml:space="preserve"> oils (PHOs) and imposition of a limit of less than 2g pr 100g of TFA in all food products. </w:t>
      </w:r>
    </w:p>
    <w:p w14:paraId="1D0E71C1" w14:textId="0E9BFB3D" w:rsidR="00173117" w:rsidRDefault="00A13D63" w:rsidP="00CA7ABD">
      <w:pPr>
        <w:jc w:val="both"/>
      </w:pPr>
      <w:r>
        <w:t>This study uses a simple</w:t>
      </w:r>
      <w:r w:rsidR="0086211F">
        <w:t xml:space="preserve"> macrosimulation</w:t>
      </w:r>
      <w:r>
        <w:t xml:space="preserve"> modeling tool to study the impact of a policy to bring about the replacement of TFA in the Pakistan food supply to inform policy decision-making for TFA elimination in alignment with the WHO Replace package.</w:t>
      </w:r>
      <w:r w:rsidR="002C0725">
        <w:t xml:space="preserve"> </w:t>
      </w:r>
      <w:r w:rsidR="008158E3">
        <w:t>The results demonstrate that industrial replacement of trans fatty acids</w:t>
      </w:r>
      <w:r w:rsidR="00173117">
        <w:t xml:space="preserve"> in the food chain could have significant health benefits</w:t>
      </w:r>
      <w:r w:rsidR="00ED6072">
        <w:t>, resulting in</w:t>
      </w:r>
      <w:r w:rsidR="007D6855">
        <w:t xml:space="preserve"> the prevention or postponement of</w:t>
      </w:r>
      <w:r w:rsidR="00ED6072">
        <w:t xml:space="preserve"> </w:t>
      </w:r>
      <w:r w:rsidR="002C0725">
        <w:t xml:space="preserve">approximately </w:t>
      </w:r>
      <w:r w:rsidR="007D6855">
        <w:t xml:space="preserve">10,266 deaths </w:t>
      </w:r>
      <w:r w:rsidR="002C0725">
        <w:t xml:space="preserve">and 243,264 YLLs </w:t>
      </w:r>
      <w:r w:rsidR="007D6855">
        <w:t xml:space="preserve">in </w:t>
      </w:r>
      <w:r w:rsidR="002C0725">
        <w:t xml:space="preserve">2023, 10,441 deaths and 248,439 YLLs in 2024, 10,623 deaths and 253,614 YLLs in 2025, and 14,080 deaths and 258,788 YLLs in 2026, adding up to 45,380 prevented or postponed deaths and 1,004,016 prevented YLLs due to high </w:t>
      </w:r>
      <w:proofErr w:type="spellStart"/>
      <w:r w:rsidR="002C0725">
        <w:t>trans fat</w:t>
      </w:r>
      <w:proofErr w:type="spellEnd"/>
      <w:r w:rsidR="002C0725">
        <w:t xml:space="preserve"> intake. </w:t>
      </w:r>
    </w:p>
    <w:p w14:paraId="1E570D81" w14:textId="72321958" w:rsidR="0086211F" w:rsidRDefault="002C0725" w:rsidP="0080034A">
      <w:pPr>
        <w:jc w:val="both"/>
      </w:pPr>
      <w:r>
        <w:t>In addition, the productivity benefits of TFA replacement from avoided premature mortality are also very high, with averted productivity losses of $306</w:t>
      </w:r>
      <w:r w:rsidR="0086211F">
        <w:t xml:space="preserve"> million</w:t>
      </w:r>
      <w:r>
        <w:t xml:space="preserve"> in 2023, $324</w:t>
      </w:r>
      <w:r w:rsidR="0086211F">
        <w:t xml:space="preserve"> million</w:t>
      </w:r>
      <w:r>
        <w:t xml:space="preserve"> in 2024, $344</w:t>
      </w:r>
      <w:r w:rsidR="0086211F">
        <w:t xml:space="preserve"> million</w:t>
      </w:r>
      <w:r>
        <w:t xml:space="preserve"> in 2025, and $365</w:t>
      </w:r>
      <w:r w:rsidR="0086211F">
        <w:t xml:space="preserve"> million</w:t>
      </w:r>
      <w:r>
        <w:t xml:space="preserve"> in 2026</w:t>
      </w:r>
      <w:r w:rsidR="0086211F">
        <w:t xml:space="preserve"> (leading to a total of $1.34 billion in productivity savings from 2023 to 2026). In comparison, the combined capital plus operational cost of industrially replacing TFA from its sources in the food supply through replacing partial hydrogenation process</w:t>
      </w:r>
      <w:r w:rsidR="00EF57C0">
        <w:t>es</w:t>
      </w:r>
      <w:r w:rsidR="0086211F">
        <w:t xml:space="preserve"> with chemical or interesterification is estimated at $14.14 million and $14.93 million per annum for the first year respectively</w:t>
      </w:r>
      <w:r w:rsidR="00643738">
        <w:t xml:space="preserve">. </w:t>
      </w:r>
      <w:r w:rsidR="008D19AB">
        <w:t>There is considerable evidence to suggest that the monetized health and economic benefits of TFA replacement far outweigh the private costs to the PHO industry of instituting replacement production processes.</w:t>
      </w:r>
    </w:p>
    <w:p w14:paraId="6D1F8C94" w14:textId="0A5BAA76" w:rsidR="0086211F" w:rsidRDefault="0086211F" w:rsidP="0080034A">
      <w:pPr>
        <w:pStyle w:val="Heading1"/>
      </w:pPr>
      <w:bookmarkStart w:id="18" w:name="_Toc134020512"/>
      <w:r>
        <w:t>Conclusion:</w:t>
      </w:r>
      <w:bookmarkEnd w:id="18"/>
      <w:r>
        <w:t xml:space="preserve"> </w:t>
      </w:r>
    </w:p>
    <w:p w14:paraId="79A732F3" w14:textId="13474C6B" w:rsidR="0086211F" w:rsidRDefault="0086211F" w:rsidP="00CA7ABD">
      <w:pPr>
        <w:jc w:val="both"/>
      </w:pPr>
      <w:r w:rsidRPr="0086211F">
        <w:t xml:space="preserve">Eliminating TFA from the food market in Pakistan by 2023 </w:t>
      </w:r>
      <w:r>
        <w:t>would</w:t>
      </w:r>
      <w:r w:rsidRPr="0086211F">
        <w:t xml:space="preserve"> be a highly cost-effective policy </w:t>
      </w:r>
      <w:r>
        <w:t>which could</w:t>
      </w:r>
      <w:r w:rsidRPr="0086211F">
        <w:t xml:space="preserve"> help prevent a substantial number of deaths from CVDs, significantly reduce the health burden from CVD and save hundreds of billions annually in averted productivity losses from premature mortality due to IHD.</w:t>
      </w:r>
      <w:r w:rsidR="00643738">
        <w:t xml:space="preserve"> Banning the production of PHOs and establishing a 2% limit for TFA in all food products could go a long way in ensuring </w:t>
      </w:r>
      <w:r w:rsidR="00D27D9C">
        <w:t xml:space="preserve">reduction of the country’s cardiovascular and non-communicable disease burden and reducing productivity losses from CVD mortality and morbidity. </w:t>
      </w:r>
    </w:p>
    <w:p w14:paraId="505E3CBC" w14:textId="30191FF2" w:rsidR="00462A32" w:rsidRDefault="00462A32" w:rsidP="00313950">
      <w:pPr>
        <w:pStyle w:val="Heading1"/>
      </w:pPr>
      <w:bookmarkStart w:id="19" w:name="_Toc134020513"/>
      <w:r>
        <w:t>Acknowledgements:</w:t>
      </w:r>
      <w:bookmarkEnd w:id="19"/>
    </w:p>
    <w:p w14:paraId="4EEB52BE" w14:textId="4CE5604F" w:rsidR="00ED135E" w:rsidRDefault="003F541D" w:rsidP="00E35791">
      <w:r>
        <w:t xml:space="preserve">This </w:t>
      </w:r>
      <w:r w:rsidR="00DB5F67">
        <w:t xml:space="preserve">analysis has been conducted by Heartfile </w:t>
      </w:r>
      <w:r w:rsidR="005251E1">
        <w:t xml:space="preserve">‘s Lead Researcher/consultant </w:t>
      </w:r>
      <w:r w:rsidR="008D1241">
        <w:t>Mr Ammar Rashid</w:t>
      </w:r>
      <w:r w:rsidR="00E35791">
        <w:t xml:space="preserve">. </w:t>
      </w:r>
      <w:r w:rsidR="00462A32">
        <w:t xml:space="preserve">This </w:t>
      </w:r>
      <w:r w:rsidR="00313950">
        <w:t xml:space="preserve">paper </w:t>
      </w:r>
      <w:r w:rsidR="00E35791">
        <w:t xml:space="preserve">also </w:t>
      </w:r>
      <w:r w:rsidR="00313950">
        <w:t xml:space="preserve">benefited enormously from support with the design of the TFA macrosimulation model and provision of PHO industry volumes data from Dr Eduardo Nilson, as well as research assistance from Aminah Qazi and coordination support from Lorena Allemandi of the NCD Alliance. </w:t>
      </w:r>
    </w:p>
    <w:p w14:paraId="764AAE26" w14:textId="77777777" w:rsidR="00CF1FF1" w:rsidRDefault="00CF1FF1" w:rsidP="00CA7ABD">
      <w:pPr>
        <w:jc w:val="both"/>
      </w:pPr>
    </w:p>
    <w:p w14:paraId="570DA6E8" w14:textId="77777777" w:rsidR="00ED135E" w:rsidRDefault="00ED135E">
      <w:r>
        <w:br w:type="page"/>
      </w:r>
    </w:p>
    <w:p w14:paraId="654A1184" w14:textId="0005211C" w:rsidR="0080034A" w:rsidRDefault="0080034A" w:rsidP="0080034A">
      <w:pPr>
        <w:pStyle w:val="Heading1"/>
      </w:pPr>
      <w:bookmarkStart w:id="20" w:name="_Toc134020514"/>
      <w:r>
        <w:t>References:</w:t>
      </w:r>
      <w:bookmarkEnd w:id="20"/>
      <w:r>
        <w:t xml:space="preserve"> </w:t>
      </w:r>
    </w:p>
    <w:p w14:paraId="5FD3E7E4" w14:textId="44EC5B46" w:rsidR="0080034A" w:rsidRDefault="0080034A" w:rsidP="00CA7ABD">
      <w:pPr>
        <w:jc w:val="both"/>
      </w:pPr>
    </w:p>
    <w:p w14:paraId="3A7663B9" w14:textId="73A4A08B" w:rsidR="00313950" w:rsidRDefault="00313950" w:rsidP="00CA7ABD">
      <w:pPr>
        <w:jc w:val="both"/>
      </w:pPr>
      <w:r>
        <w:t xml:space="preserve">Amjad, S and Khattak I. (2020). Striving for a trans-fat free Pakistan. DAWN. Published December 22, 2022. Available: </w:t>
      </w:r>
      <w:hyperlink r:id="rId14" w:history="1">
        <w:r w:rsidRPr="003446BC">
          <w:rPr>
            <w:rStyle w:val="Hyperlink"/>
          </w:rPr>
          <w:t>https://www.dawn.com/news/1597208</w:t>
        </w:r>
      </w:hyperlink>
      <w:r>
        <w:t xml:space="preserve"> </w:t>
      </w:r>
    </w:p>
    <w:p w14:paraId="00A1116C" w14:textId="35D2FF7B" w:rsidR="0080034A" w:rsidRDefault="0080034A" w:rsidP="00CA7ABD">
      <w:pPr>
        <w:jc w:val="both"/>
      </w:pPr>
      <w:proofErr w:type="spellStart"/>
      <w:r w:rsidRPr="0080034A">
        <w:t>Barendregt</w:t>
      </w:r>
      <w:proofErr w:type="spellEnd"/>
      <w:r w:rsidRPr="0080034A">
        <w:t xml:space="preserve">, J. J., &amp; </w:t>
      </w:r>
      <w:proofErr w:type="spellStart"/>
      <w:r w:rsidRPr="0080034A">
        <w:t>Veerman</w:t>
      </w:r>
      <w:proofErr w:type="spellEnd"/>
      <w:r w:rsidRPr="0080034A">
        <w:t xml:space="preserve">, J. L. (2010). Theory and methods: Categorical versus continuous risk factors and the calculation of potential impact fractions. Journal of Epidemiology and Community Health (1979), 64(3), 209–212. </w:t>
      </w:r>
      <w:hyperlink r:id="rId15" w:history="1">
        <w:r w:rsidRPr="003446BC">
          <w:rPr>
            <w:rStyle w:val="Hyperlink"/>
          </w:rPr>
          <w:t>http://www.jstor.org/stable/20721172</w:t>
        </w:r>
      </w:hyperlink>
    </w:p>
    <w:p w14:paraId="03CAE7B7" w14:textId="68839703" w:rsidR="00B96AD8" w:rsidRDefault="00B96AD8" w:rsidP="00B96AD8">
      <w:proofErr w:type="spellStart"/>
      <w:r w:rsidRPr="00B96AD8">
        <w:t>Barendregt</w:t>
      </w:r>
      <w:proofErr w:type="spellEnd"/>
      <w:r w:rsidRPr="00B96AD8">
        <w:t xml:space="preserve"> JJ, Ersatz User Guide. </w:t>
      </w:r>
      <w:r>
        <w:t>(</w:t>
      </w:r>
      <w:r w:rsidRPr="00B96AD8">
        <w:t>2017</w:t>
      </w:r>
      <w:r>
        <w:t>)</w:t>
      </w:r>
      <w:r w:rsidRPr="00B96AD8">
        <w:t>. [Online]. Available:</w:t>
      </w:r>
      <w:r>
        <w:t xml:space="preserve">  </w:t>
      </w:r>
      <w:r w:rsidRPr="00B96AD8">
        <w:t>http://www.epigear.com/index_files/ErsatzUserGuide.pdf.</w:t>
      </w:r>
    </w:p>
    <w:p w14:paraId="2FD388EB" w14:textId="7C23C85F" w:rsidR="0080034A" w:rsidRDefault="00A80287" w:rsidP="00CA7ABD">
      <w:pPr>
        <w:jc w:val="both"/>
      </w:pPr>
      <w:r w:rsidRPr="00A80287">
        <w:t xml:space="preserve">GAIN. </w:t>
      </w:r>
      <w:r>
        <w:t>(</w:t>
      </w:r>
      <w:r w:rsidRPr="00A80287">
        <w:t>2019</w:t>
      </w:r>
      <w:r>
        <w:t>)</w:t>
      </w:r>
      <w:r w:rsidRPr="00A80287">
        <w:t>. Replacement solutions for industrial trans-fatty acids by small and medium enterprises in Pakistan. Global Alliance for Improved Nutrition.</w:t>
      </w:r>
    </w:p>
    <w:p w14:paraId="6FBCA209" w14:textId="617DF7B4" w:rsidR="008D19AB" w:rsidRDefault="00B96AD8" w:rsidP="00CA7ABD">
      <w:pPr>
        <w:jc w:val="both"/>
      </w:pPr>
      <w:r>
        <w:t>Ministry of Finance</w:t>
      </w:r>
      <w:r w:rsidR="008D19AB">
        <w:t>. Pakistan Economic Survey 2021-22. Health and Nutrition section. Finance Division</w:t>
      </w:r>
      <w:r>
        <w:t>, Government of Pakistan</w:t>
      </w:r>
      <w:r w:rsidR="008D19AB">
        <w:t xml:space="preserve">. </w:t>
      </w:r>
    </w:p>
    <w:p w14:paraId="7477D6D4" w14:textId="2650EE44" w:rsidR="0080034A" w:rsidRDefault="0080034A" w:rsidP="0080034A">
      <w:pPr>
        <w:jc w:val="both"/>
      </w:pPr>
      <w:r>
        <w:t xml:space="preserve">Institute of Health Metrics and Evaluation. </w:t>
      </w:r>
      <w:r w:rsidR="00F40D5D">
        <w:t>(</w:t>
      </w:r>
      <w:r>
        <w:t>2019</w:t>
      </w:r>
      <w:r w:rsidR="00F40D5D">
        <w:t>)</w:t>
      </w:r>
      <w:r>
        <w:t xml:space="preserve">. Global Burden of Disease (GBD 2019). </w:t>
      </w:r>
    </w:p>
    <w:p w14:paraId="09D17A67" w14:textId="03BC3E10" w:rsidR="00B96AD8" w:rsidRDefault="00B96AD8" w:rsidP="0080034A">
      <w:pPr>
        <w:jc w:val="both"/>
      </w:pPr>
      <w:r w:rsidRPr="00B96AD8">
        <w:t xml:space="preserve">Iqbal MP. </w:t>
      </w:r>
      <w:r>
        <w:t xml:space="preserve">(2014). </w:t>
      </w:r>
      <w:r w:rsidRPr="00B96AD8">
        <w:t xml:space="preserve">Trans fatty acids - A risk factor for cardiovascular disease. </w:t>
      </w:r>
      <w:r>
        <w:t>Journal of the Pakistan Medical Association. Ja</w:t>
      </w:r>
      <w:r w:rsidRPr="00B96AD8">
        <w:t>n</w:t>
      </w:r>
      <w:r>
        <w:t xml:space="preserve"> 2014</w:t>
      </w:r>
      <w:r w:rsidRPr="00B96AD8">
        <w:t xml:space="preserve">;30(1):194-7. </w:t>
      </w:r>
      <w:proofErr w:type="spellStart"/>
      <w:r w:rsidRPr="00B96AD8">
        <w:t>doi</w:t>
      </w:r>
      <w:proofErr w:type="spellEnd"/>
      <w:r w:rsidRPr="00B96AD8">
        <w:t>: 10.12669/pjms.301.4525. PMID: 24639860; PMCID: PMC3955571.</w:t>
      </w:r>
    </w:p>
    <w:p w14:paraId="2B73A0E7" w14:textId="5D09F80D" w:rsidR="008D19AB" w:rsidRDefault="008D19AB" w:rsidP="008D19AB">
      <w:pPr>
        <w:jc w:val="both"/>
      </w:pPr>
      <w:r w:rsidRPr="00E5540E">
        <w:t xml:space="preserve">Nilson, E.A.F., </w:t>
      </w:r>
      <w:proofErr w:type="spellStart"/>
      <w:r w:rsidRPr="00E5540E">
        <w:t>Khandpur</w:t>
      </w:r>
      <w:proofErr w:type="spellEnd"/>
      <w:r w:rsidRPr="00E5540E">
        <w:t>, N. &amp; da Silva Gomes, F.</w:t>
      </w:r>
      <w:r>
        <w:t xml:space="preserve"> (2022)</w:t>
      </w:r>
      <w:r w:rsidRPr="00E5540E">
        <w:t xml:space="preserve"> Development and application of the TFA macrosimulation model: a case study of modelling the impact of trans fatty acid (TFA) elimination policies in Brazil. BMC Public Health 22, 2010 (2022). https://doi.org/10.1186/s12889-022-14361-9</w:t>
      </w:r>
    </w:p>
    <w:p w14:paraId="661D17C5" w14:textId="3FB0C935" w:rsidR="00B96AD8" w:rsidRDefault="00B96AD8" w:rsidP="008D19AB">
      <w:pPr>
        <w:jc w:val="both"/>
      </w:pPr>
      <w:r>
        <w:t>Macrotrends. (2022). Pakistan Population 1950-2022. Retrieved on 1</w:t>
      </w:r>
      <w:r w:rsidRPr="00B96AD8">
        <w:rPr>
          <w:vertAlign w:val="superscript"/>
        </w:rPr>
        <w:t>st</w:t>
      </w:r>
      <w:r>
        <w:t xml:space="preserve"> August 2022.</w:t>
      </w:r>
    </w:p>
    <w:p w14:paraId="61CD3ADD" w14:textId="27B50211" w:rsidR="008D19AB" w:rsidRDefault="008D19AB" w:rsidP="008D19AB">
      <w:pPr>
        <w:jc w:val="both"/>
      </w:pPr>
      <w:proofErr w:type="spellStart"/>
      <w:r w:rsidRPr="00A80287">
        <w:t>Marklund</w:t>
      </w:r>
      <w:proofErr w:type="spellEnd"/>
      <w:r w:rsidRPr="00A80287">
        <w:t xml:space="preserve"> M, Zheng M, </w:t>
      </w:r>
      <w:proofErr w:type="spellStart"/>
      <w:r w:rsidRPr="00A80287">
        <w:t>Veerman</w:t>
      </w:r>
      <w:proofErr w:type="spellEnd"/>
      <w:r w:rsidRPr="00A80287">
        <w:t xml:space="preserve"> JL, Wu JHY (2020) Estimated health benefits, costs, and cost-effectiveness of eliminating industrial trans-fatty acids in Australia: A modelling study. </w:t>
      </w:r>
      <w:proofErr w:type="spellStart"/>
      <w:r w:rsidRPr="00A80287">
        <w:t>PLoS</w:t>
      </w:r>
      <w:proofErr w:type="spellEnd"/>
      <w:r w:rsidRPr="00A80287">
        <w:t xml:space="preserve"> Med 17(11): e1003407. </w:t>
      </w:r>
      <w:hyperlink r:id="rId16" w:history="1">
        <w:r w:rsidRPr="003446BC">
          <w:rPr>
            <w:rStyle w:val="Hyperlink"/>
          </w:rPr>
          <w:t>https://doi.org/10.1371/journal.pmed.1003407</w:t>
        </w:r>
      </w:hyperlink>
    </w:p>
    <w:p w14:paraId="55AF04A5" w14:textId="4D78A093" w:rsidR="00B96AD8" w:rsidRDefault="00B96AD8" w:rsidP="008D19AB">
      <w:pPr>
        <w:jc w:val="both"/>
      </w:pPr>
      <w:r>
        <w:t xml:space="preserve">Pakistan Bureau of Statistics. Pakistan Labour Force Survey 2021-22. Finance Division, Government of Pakistan. </w:t>
      </w:r>
    </w:p>
    <w:p w14:paraId="11DC3340" w14:textId="67A590C0" w:rsidR="008D19AB" w:rsidRDefault="008D19AB" w:rsidP="008D19AB">
      <w:pPr>
        <w:jc w:val="both"/>
      </w:pPr>
      <w:r w:rsidRPr="00317176">
        <w:t xml:space="preserve">Persistence Market Research. </w:t>
      </w:r>
      <w:r>
        <w:t xml:space="preserve">(2018). </w:t>
      </w:r>
      <w:r w:rsidRPr="00317176">
        <w:t xml:space="preserve">PHO and Non-PHO based Oils and Fats Market: Global Industry Analysis 2013-2017 and Forecast 2018-2026. </w:t>
      </w:r>
    </w:p>
    <w:p w14:paraId="39D16CE2" w14:textId="532A9140" w:rsidR="00F40D5D" w:rsidRDefault="00F40D5D" w:rsidP="0080034A">
      <w:pPr>
        <w:jc w:val="both"/>
      </w:pPr>
      <w:r w:rsidRPr="00F40D5D">
        <w:t xml:space="preserve">Rashid, A., Amjad, S., Nishtar, MK., and Nishtar, NA. </w:t>
      </w:r>
      <w:r>
        <w:t>(</w:t>
      </w:r>
      <w:r w:rsidRPr="00F40D5D">
        <w:t>20</w:t>
      </w:r>
      <w:r>
        <w:t>20)</w:t>
      </w:r>
      <w:r w:rsidRPr="00F40D5D">
        <w:t xml:space="preserve">. Trans Fatty Acid (TFA) Elimination in Pakistan: a situational analysis. Journal of the Pakistan Medical Association. May;70(Suppl </w:t>
      </w:r>
      <w:proofErr w:type="gramStart"/>
      <w:r w:rsidRPr="00F40D5D">
        <w:t>2)(</w:t>
      </w:r>
      <w:proofErr w:type="gramEnd"/>
      <w:r w:rsidRPr="00F40D5D">
        <w:t>5):S1-S30.</w:t>
      </w:r>
    </w:p>
    <w:p w14:paraId="2313231C" w14:textId="315D2075" w:rsidR="00D71436" w:rsidRDefault="00D71436" w:rsidP="00D71436">
      <w:proofErr w:type="spellStart"/>
      <w:r>
        <w:t>Rumisha</w:t>
      </w:r>
      <w:proofErr w:type="spellEnd"/>
      <w:r>
        <w:t xml:space="preserve"> SF, George J, Bwana VM, </w:t>
      </w:r>
      <w:proofErr w:type="spellStart"/>
      <w:r>
        <w:t>Mboera</w:t>
      </w:r>
      <w:proofErr w:type="spellEnd"/>
      <w:r>
        <w:t xml:space="preserve"> LEG (2020) Years of potential life lost and productivity costs due to premature mortality from six priority diseases in Tanzania, 2006-2015. </w:t>
      </w:r>
      <w:proofErr w:type="spellStart"/>
      <w:r>
        <w:t>PLoS</w:t>
      </w:r>
      <w:proofErr w:type="spellEnd"/>
      <w:r>
        <w:t xml:space="preserve"> ONE 15(6): e0234300. </w:t>
      </w:r>
    </w:p>
    <w:p w14:paraId="547A374F" w14:textId="142BE92D" w:rsidR="00EF57C0" w:rsidRDefault="00EF57C0" w:rsidP="00317176">
      <w:pPr>
        <w:jc w:val="both"/>
      </w:pPr>
      <w:r w:rsidRPr="00EF57C0">
        <w:t xml:space="preserve">Tarar, OM, et al. </w:t>
      </w:r>
      <w:r w:rsidR="00F40D5D">
        <w:t xml:space="preserve">(2020). </w:t>
      </w:r>
      <w:r w:rsidRPr="00EF57C0">
        <w:t>Understanding the complexities of prevalence of trans fat and its control in food supply in Pakistan. Journal of Clinical Hypertension. 22:1338–1346</w:t>
      </w:r>
      <w:r w:rsidR="00F40D5D">
        <w:t xml:space="preserve">. </w:t>
      </w:r>
    </w:p>
    <w:p w14:paraId="739D17B8" w14:textId="67BF3661" w:rsidR="008D19AB" w:rsidRDefault="008D19AB" w:rsidP="008D19AB">
      <w:pPr>
        <w:jc w:val="both"/>
      </w:pPr>
      <w:r>
        <w:t>World Health Organization. (2017). ‘Best Buys’ and Other Recommended Interventions for the Prevention and Control of Noncommunicable Diseases Updated (2017) Appendix 3 of the Global Action Plan for the Prevention and Control of Noncommunicable Diseases 2013-2020. WHO Discussion Paper. Geneva: World Health Organization.</w:t>
      </w:r>
    </w:p>
    <w:p w14:paraId="350BBBD5" w14:textId="1E0D9DEE" w:rsidR="00EF57C0" w:rsidRDefault="00EF57C0" w:rsidP="00317176">
      <w:pPr>
        <w:jc w:val="both"/>
      </w:pPr>
      <w:r w:rsidRPr="00EF57C0">
        <w:t xml:space="preserve">Zhu Y, Bo Y, Liu Y. </w:t>
      </w:r>
      <w:r>
        <w:t xml:space="preserve">(2019) </w:t>
      </w:r>
      <w:r w:rsidRPr="00EF57C0">
        <w:t xml:space="preserve">Dietary total fat, fatty acids intake, and risk of cardiovascular disease: a dose-response meta-analysis of cohort studies. Lipids Health Dis. Apr 6;18(1):91. </w:t>
      </w:r>
      <w:proofErr w:type="spellStart"/>
      <w:r w:rsidRPr="00EF57C0">
        <w:t>doi</w:t>
      </w:r>
      <w:proofErr w:type="spellEnd"/>
      <w:r w:rsidRPr="00EF57C0">
        <w:t>: 10.1186/s12944-019-1035-2. PMID: 30954077; PMCID: PMC6451787.</w:t>
      </w:r>
    </w:p>
    <w:p w14:paraId="56EB9258" w14:textId="77777777" w:rsidR="00ED135E" w:rsidRDefault="00ED135E" w:rsidP="00317176">
      <w:pPr>
        <w:jc w:val="both"/>
      </w:pPr>
    </w:p>
    <w:p w14:paraId="683E034D" w14:textId="129717AF" w:rsidR="00ED135E" w:rsidRDefault="00ED135E" w:rsidP="00317176">
      <w:pPr>
        <w:jc w:val="both"/>
      </w:pPr>
    </w:p>
    <w:p w14:paraId="711879D4" w14:textId="49743FCF" w:rsidR="00EF57C0" w:rsidRDefault="00ED135E" w:rsidP="00317176">
      <w:pPr>
        <w:jc w:val="both"/>
      </w:pPr>
      <w:r>
        <w:rPr>
          <w:noProof/>
        </w:rPr>
        <mc:AlternateContent>
          <mc:Choice Requires="wpg">
            <w:drawing>
              <wp:anchor distT="0" distB="0" distL="114300" distR="114300" simplePos="0" relativeHeight="251661312" behindDoc="0" locked="0" layoutInCell="1" allowOverlap="1" wp14:anchorId="17DF49D4" wp14:editId="76BA046A">
                <wp:simplePos x="0" y="0"/>
                <wp:positionH relativeFrom="margin">
                  <wp:posOffset>512548</wp:posOffset>
                </wp:positionH>
                <wp:positionV relativeFrom="paragraph">
                  <wp:posOffset>72768</wp:posOffset>
                </wp:positionV>
                <wp:extent cx="4800600" cy="130706"/>
                <wp:effectExtent l="38100" t="38100" r="57150" b="41275"/>
                <wp:wrapNone/>
                <wp:docPr id="2044903598" name="Group 4"/>
                <wp:cNvGraphicFramePr/>
                <a:graphic xmlns:a="http://schemas.openxmlformats.org/drawingml/2006/main">
                  <a:graphicData uri="http://schemas.microsoft.com/office/word/2010/wordprocessingGroup">
                    <wpg:wgp>
                      <wpg:cNvGrpSpPr/>
                      <wpg:grpSpPr>
                        <a:xfrm>
                          <a:off x="0" y="0"/>
                          <a:ext cx="4800600" cy="130706"/>
                          <a:chOff x="0" y="0"/>
                          <a:chExt cx="4800600" cy="130706"/>
                        </a:xfrm>
                      </wpg:grpSpPr>
                      <wps:wsp>
                        <wps:cNvPr id="1351547910" name="Straight Connector 3"/>
                        <wps:cNvCnPr/>
                        <wps:spPr>
                          <a:xfrm flipV="1">
                            <a:off x="0" y="0"/>
                            <a:ext cx="4800600" cy="26894"/>
                          </a:xfrm>
                          <a:prstGeom prst="line">
                            <a:avLst/>
                          </a:prstGeom>
                          <a:ln w="25400">
                            <a:headEnd type="diamond"/>
                            <a:tailEnd type="diamond"/>
                          </a:ln>
                        </wps:spPr>
                        <wps:style>
                          <a:lnRef idx="2">
                            <a:schemeClr val="accent3"/>
                          </a:lnRef>
                          <a:fillRef idx="0">
                            <a:schemeClr val="accent3"/>
                          </a:fillRef>
                          <a:effectRef idx="1">
                            <a:schemeClr val="accent3"/>
                          </a:effectRef>
                          <a:fontRef idx="minor">
                            <a:schemeClr val="tx1"/>
                          </a:fontRef>
                        </wps:style>
                        <wps:bodyPr/>
                      </wps:wsp>
                      <wps:wsp>
                        <wps:cNvPr id="713631380" name="Straight Connector 3"/>
                        <wps:cNvCnPr/>
                        <wps:spPr>
                          <a:xfrm flipV="1">
                            <a:off x="0" y="103812"/>
                            <a:ext cx="4800600" cy="26894"/>
                          </a:xfrm>
                          <a:prstGeom prst="line">
                            <a:avLst/>
                          </a:prstGeom>
                          <a:ln w="25400">
                            <a:headEnd type="diamond"/>
                            <a:tailEnd type="diamond"/>
                          </a:ln>
                        </wps:spPr>
                        <wps:style>
                          <a:lnRef idx="2">
                            <a:schemeClr val="accent3"/>
                          </a:lnRef>
                          <a:fillRef idx="0">
                            <a:schemeClr val="accent3"/>
                          </a:fillRef>
                          <a:effectRef idx="1">
                            <a:schemeClr val="accent3"/>
                          </a:effectRef>
                          <a:fontRef idx="minor">
                            <a:schemeClr val="tx1"/>
                          </a:fontRef>
                        </wps:style>
                        <wps:bodyPr/>
                      </wps:wsp>
                    </wpg:wgp>
                  </a:graphicData>
                </a:graphic>
                <wp14:sizeRelV relativeFrom="margin">
                  <wp14:pctHeight>0</wp14:pctHeight>
                </wp14:sizeRelV>
              </wp:anchor>
            </w:drawing>
          </mc:Choice>
          <mc:Fallback>
            <w:pict>
              <v:group w14:anchorId="55B86910" id="Group 4" o:spid="_x0000_s1026" style="position:absolute;margin-left:40.35pt;margin-top:5.75pt;width:378pt;height:10.3pt;z-index:251661312;mso-position-horizontal-relative:margin;mso-height-relative:margin" coordsize="48006,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A9XQIAAM4HAAAOAAAAZHJzL2Uyb0RvYy54bWzslU1v2yAYx++T9h2Q74tf8lorTg9pl8u0&#10;Vc22O8VgI2FAQOPk2+8BErdro2jq1MOkXbB5ed5+/IHl9b4TaEeN5UpWST7KEkQlUTWXTZX8+P75&#10;0yJB1mFZY6EkrZIDtcn16uOHZa9LWqhWiZoaBE6kLXtdJa1zukxTS1raYTtSmkqYZMp02EHXNGlt&#10;cA/eO5EWWTZLe2VqbRSh1sLoTZxMVsE/Y5S4b4xZ6pCoEsjNhdaE9sG36WqJy8Zg3XJyTAO/IYsO&#10;cwlBB1c32GH0aPgrVx0nRlnF3IioLlWMcUJDDVBNnr2oZmPUow61NGXf6AEToH3B6c1uydfdxuit&#10;vjNAotcNsAg9X8uemc5/IUu0D8gOAzK6d4jA4GQBm5ABWQJz+TibZ7PIlLQA/pUZaW8vG6ansOlv&#10;yfQa5GGfCNi/I7BtsaYBrC2BwJ1BvPbpT/PpZH6VQzkSd6DWrTOYN61DayUlaEkZNPbl+XTAbi2P&#10;2GxpgeCJGWKC65/gLyjij+kVs8XVxHsfGOBSG+s2VHXI/1SJ4NKnjUu8+2JdXHpa4oeFRH2VFNMJ&#10;7IjvtxTXt7JG7qChmprjTsk67o/DXJydguhCQhK+xlhV+HMHQWOIe8oAF+x9EWKEo0rXwqAdhkOG&#10;CaHSBUrBE6z2ZowLMRjG5C4aHtd7UxqO8WAcqV40HixCZCXdYNxxqcy5tN0+P6Jncf2JQKzbI3hQ&#10;9SHsd0ADaow6eHdZzvPxbJyPF++nyjwbL/Ii6uLswf4vzWea/jekGe5PeDTCdXJ84Pyr9LwfNP70&#10;DK9+AQAA//8DAFBLAwQUAAYACAAAACEAD1ERF98AAAAIAQAADwAAAGRycy9kb3ducmV2LnhtbEyP&#10;QWvCQBCF74X+h2WE3uomBm2I2YhI25MUqoXS25gdk2B2N2TXJP77Tk/1OO893nwv30ymFQP1vnFW&#10;QTyPQJAtnW5speDr+PacgvABrcbWWVJwIw+b4vEhx0y70X7ScAiV4BLrM1RQh9BlUvqyJoN+7jqy&#10;7J1dbzDw2VdS9zhyuWnlIopW0mBj+UONHe1qKi+Hq1HwPuK4TeLXYX85724/x+XH9z4mpZ5m03YN&#10;ItAU/sPwh8/oUDDTyV2t9qJVkEYvnGQ9XoJgP01WLJwUJIsYZJHL+wHFLwAAAP//AwBQSwECLQAU&#10;AAYACAAAACEAtoM4kv4AAADhAQAAEwAAAAAAAAAAAAAAAAAAAAAAW0NvbnRlbnRfVHlwZXNdLnht&#10;bFBLAQItABQABgAIAAAAIQA4/SH/1gAAAJQBAAALAAAAAAAAAAAAAAAAAC8BAABfcmVscy8ucmVs&#10;c1BLAQItABQABgAIAAAAIQAsueA9XQIAAM4HAAAOAAAAAAAAAAAAAAAAAC4CAABkcnMvZTJvRG9j&#10;LnhtbFBLAQItABQABgAIAAAAIQAPUREX3wAAAAgBAAAPAAAAAAAAAAAAAAAAALcEAABkcnMvZG93&#10;bnJldi54bWxQSwUGAAAAAAQABADzAAAAwwUAAAAA&#10;">
                <v:line id="Straight Connector 3" o:spid="_x0000_s1027" style="position:absolute;flip:y;visibility:visible;mso-wrap-style:square" from="0,0" to="480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p0+zQAAAOMAAAAPAAAAZHJzL2Rvd25yZXYueG1sRI/RTsJA&#10;EEXfTfyHzZj4YmRbFYXKQtCgIUQloB8w6Y5tY3e27C5Q/955MOFxZu7ce89k1rtWHSjExrOBfJCB&#10;Ii69bbgy8PX5cj0CFROyxdYzGfilCLPp+dkEC+uPvKHDNlVKTDgWaKBOqSu0jmVNDuPAd8Ry+/bB&#10;YZIxVNoGPIq5a/VNlt1rhw1LQo0dPddU/mz3zsDTjlar7u1jNJ6/LnbZ4orW4X1vzOVFP38ElahP&#10;J/H/99JK/dthPrx7GOdCIUyyAD39AwAA//8DAFBLAQItABQABgAIAAAAIQDb4fbL7gAAAIUBAAAT&#10;AAAAAAAAAAAAAAAAAAAAAABbQ29udGVudF9UeXBlc10ueG1sUEsBAi0AFAAGAAgAAAAhAFr0LFu/&#10;AAAAFQEAAAsAAAAAAAAAAAAAAAAAHwEAAF9yZWxzLy5yZWxzUEsBAi0AFAAGAAgAAAAhAA/enT7N&#10;AAAA4wAAAA8AAAAAAAAAAAAAAAAABwIAAGRycy9kb3ducmV2LnhtbFBLBQYAAAAAAwADALcAAAAB&#10;AwAAAAA=&#10;" strokecolor="#a5a5a5 [3206]" strokeweight="2pt">
                  <v:stroke startarrow="diamond" endarrow="diamond" joinstyle="miter"/>
                </v:line>
                <v:line id="Straight Connector 3" o:spid="_x0000_s1028" style="position:absolute;flip:y;visibility:visible;mso-wrap-style:square" from="0,1038" to="4800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UhygAAAOIAAAAPAAAAZHJzL2Rvd25yZXYueG1sRI/fasIw&#10;FMbvB3uHcAbeDE1rwdXOKG6oDNkUdQ9waM7asuakJlG7t18uBrv8+P7xmy1604orOd9YVpCOEhDE&#10;pdUNVwo+T+thDsIHZI2tZVLwQx4W8/u7GRba3vhA12OoRBxhX6CCOoSukNKXNRn0I9sRR+/LOoMh&#10;SldJ7fAWx00rx0kykQYbjg81dvRaU/l9vBgFL2fabrv3XT5dblbnZPVIe/dxUWrw0C+fQQTqw3/4&#10;r/2mFTyl2SRLszxCRKSIA3L+CwAA//8DAFBLAQItABQABgAIAAAAIQDb4fbL7gAAAIUBAAATAAAA&#10;AAAAAAAAAAAAAAAAAABbQ29udGVudF9UeXBlc10ueG1sUEsBAi0AFAAGAAgAAAAhAFr0LFu/AAAA&#10;FQEAAAsAAAAAAAAAAAAAAAAAHwEAAF9yZWxzLy5yZWxzUEsBAi0AFAAGAAgAAAAhAMUwNSHKAAAA&#10;4gAAAA8AAAAAAAAAAAAAAAAABwIAAGRycy9kb3ducmV2LnhtbFBLBQYAAAAAAwADALcAAAD+AgAA&#10;AAA=&#10;" strokecolor="#a5a5a5 [3206]" strokeweight="2pt">
                  <v:stroke startarrow="diamond" endarrow="diamond" joinstyle="miter"/>
                </v:line>
                <w10:wrap anchorx="margin"/>
              </v:group>
            </w:pict>
          </mc:Fallback>
        </mc:AlternateContent>
      </w:r>
    </w:p>
    <w:sectPr w:rsidR="00EF57C0" w:rsidSect="004F5568">
      <w:headerReference w:type="default" r:id="rId17"/>
      <w:footerReference w:type="default" r:id="rId18"/>
      <w:pgSz w:w="12240" w:h="15840"/>
      <w:pgMar w:top="1283" w:right="1440" w:bottom="2070" w:left="1440" w:header="706" w:footer="4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051B" w14:textId="77777777" w:rsidR="00F43849" w:rsidRDefault="00F43849" w:rsidP="00470CE8">
      <w:pPr>
        <w:spacing w:after="0" w:line="240" w:lineRule="auto"/>
      </w:pPr>
      <w:r>
        <w:separator/>
      </w:r>
    </w:p>
  </w:endnote>
  <w:endnote w:type="continuationSeparator" w:id="0">
    <w:p w14:paraId="36AD2B14" w14:textId="77777777" w:rsidR="00F43849" w:rsidRDefault="00F43849" w:rsidP="004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 HAND 28">
    <w:panose1 w:val="0202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1B14" w14:textId="48FBD0B4" w:rsidR="00B4123C" w:rsidRDefault="00B4123C" w:rsidP="006A09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FCD0" w14:textId="77777777" w:rsidR="007323EF" w:rsidRDefault="007323EF">
    <w:pPr>
      <w:pStyle w:val="Footer"/>
      <w:jc w:val="right"/>
    </w:pPr>
    <w:r>
      <w:rPr>
        <w:rFonts w:ascii="FZ HAND 28" w:hAnsi="FZ HAND 28"/>
        <w:noProof/>
        <w:color w:val="FF0000"/>
        <w:sz w:val="36"/>
        <w:szCs w:val="36"/>
      </w:rPr>
      <mc:AlternateContent>
        <mc:Choice Requires="wps">
          <w:drawing>
            <wp:anchor distT="0" distB="0" distL="114300" distR="114300" simplePos="0" relativeHeight="251667456" behindDoc="0" locked="0" layoutInCell="1" allowOverlap="1" wp14:anchorId="712BD131" wp14:editId="39054920">
              <wp:simplePos x="0" y="0"/>
              <wp:positionH relativeFrom="margin">
                <wp:align>left</wp:align>
              </wp:positionH>
              <wp:positionV relativeFrom="paragraph">
                <wp:posOffset>-223244</wp:posOffset>
              </wp:positionV>
              <wp:extent cx="6035040" cy="0"/>
              <wp:effectExtent l="0" t="0" r="0" b="0"/>
              <wp:wrapNone/>
              <wp:docPr id="605122426" name="Straight Connector 11"/>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572A0" id="Straight Connector 11"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7.6pt" to="475.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HrnAEAAJQDAAAOAAAAZHJzL2Uyb0RvYy54bWysU8tu2zAQvBfIPxC815LTNig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vGnfvGvfsqf6/NZcgJFSfgD0omx66WwoOlSn9h9T5mQceg7hwyV13eWD&#10;gxLswhcwwg6cbF3RdSrgzpHYK+6n0hpCXpceMl+NLjBjnVuA7Z+Bp/gChToxfwNeEDUzhryAvQ1I&#10;v8ue53PJ5hh/duCou1jwhMOhNqVaw62vCk9jWmbr+bnCLz/T9icAAAD//wMAUEsDBBQABgAIAAAA&#10;IQD6FeJq3wAAAAgBAAAPAAAAZHJzL2Rvd25yZXYueG1sTI9RS8NAEITfBf/DsYJv7cVopcZcSimI&#10;tVCKrVAfr7k1ieb2wt21Sf+9Kwj6ODvLzDf5bLCtOKEPjSMFN+MEBFLpTEOVgrfd02gKIkRNRreO&#10;UMEZA8yKy4tcZ8b19IqnbawEh1DItII6xi6TMpQ1Wh3GrkNi78N5qyNLX0njdc/htpVpktxLqxvi&#10;hlp3uKix/NoerYK1Xy4X89X5kzbvtt+nq/3mZXhW6vpqmD+CiDjEv2f4wWd0KJjp4I5kgmgV8JCo&#10;YHQ7SUGw/TBJ7kAcfi+yyOX/AcU3AAAA//8DAFBLAQItABQABgAIAAAAIQC2gziS/gAAAOEBAAAT&#10;AAAAAAAAAAAAAAAAAAAAAABbQ29udGVudF9UeXBlc10ueG1sUEsBAi0AFAAGAAgAAAAhADj9If/W&#10;AAAAlAEAAAsAAAAAAAAAAAAAAAAALwEAAF9yZWxzLy5yZWxzUEsBAi0AFAAGAAgAAAAhAPvsgeuc&#10;AQAAlAMAAA4AAAAAAAAAAAAAAAAALgIAAGRycy9lMm9Eb2MueG1sUEsBAi0AFAAGAAgAAAAhAPoV&#10;4mrfAAAACAEAAA8AAAAAAAAAAAAAAAAA9gMAAGRycy9kb3ducmV2LnhtbFBLBQYAAAAABAAEAPMA&#10;AAACBQAAAAA=&#10;" strokecolor="#4472c4 [3204]" strokeweight=".5pt">
              <v:stroke joinstyle="miter"/>
              <w10:wrap anchorx="margin"/>
            </v:line>
          </w:pict>
        </mc:Fallback>
      </mc:AlternateContent>
    </w:r>
    <w:r w:rsidRPr="00D62A27">
      <w:rPr>
        <w:rFonts w:ascii="FZ HAND 28" w:hAnsi="FZ HAND 28"/>
        <w:color w:val="FF0000"/>
        <w:sz w:val="40"/>
        <w:szCs w:val="40"/>
      </w:rPr>
      <w:t>Heartfile</w:t>
    </w:r>
    <w:r>
      <w:t xml:space="preserve">  </w:t>
    </w:r>
    <w:r>
      <w:t xml:space="preserve">                                                                                                                                     </w:t>
    </w:r>
    <w:sdt>
      <w:sdtPr>
        <w:id w:val="-719050425"/>
        <w:docPartObj>
          <w:docPartGallery w:val="Page Numbers (Bottom of Page)"/>
          <w:docPartUnique/>
        </w:docPartObj>
      </w:sdt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p w14:paraId="1605A230" w14:textId="77777777" w:rsidR="007323EF" w:rsidRDefault="00732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BA7C" w14:textId="2F000255" w:rsidR="007323EF" w:rsidRDefault="009B3218" w:rsidP="007323EF">
    <w:pPr>
      <w:pStyle w:val="Footer"/>
      <w:jc w:val="right"/>
    </w:pPr>
    <w:r>
      <w:rPr>
        <w:rFonts w:ascii="FZ HAND 28" w:hAnsi="FZ HAND 28"/>
        <w:noProof/>
        <w:color w:val="FF0000"/>
        <w:sz w:val="36"/>
        <w:szCs w:val="36"/>
      </w:rPr>
      <mc:AlternateContent>
        <mc:Choice Requires="wps">
          <w:drawing>
            <wp:anchor distT="0" distB="0" distL="114300" distR="114300" simplePos="0" relativeHeight="251677696" behindDoc="0" locked="0" layoutInCell="1" allowOverlap="1" wp14:anchorId="2C64FB3E" wp14:editId="4485E7C0">
              <wp:simplePos x="0" y="0"/>
              <wp:positionH relativeFrom="margin">
                <wp:align>left</wp:align>
              </wp:positionH>
              <wp:positionV relativeFrom="paragraph">
                <wp:posOffset>-228600</wp:posOffset>
              </wp:positionV>
              <wp:extent cx="5943600" cy="24130"/>
              <wp:effectExtent l="0" t="19050" r="38100" b="52070"/>
              <wp:wrapNone/>
              <wp:docPr id="1042727868" name="Straight Connector 10"/>
              <wp:cNvGraphicFramePr/>
              <a:graphic xmlns:a="http://schemas.openxmlformats.org/drawingml/2006/main">
                <a:graphicData uri="http://schemas.microsoft.com/office/word/2010/wordprocessingShape">
                  <wps:wsp>
                    <wps:cNvCnPr/>
                    <wps:spPr>
                      <a:xfrm flipV="1">
                        <a:off x="0" y="0"/>
                        <a:ext cx="5943600" cy="24130"/>
                      </a:xfrm>
                      <a:prstGeom prst="line">
                        <a:avLst/>
                      </a:prstGeom>
                      <a:ln w="63500" cmpd="thinThick"/>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F5C3B1D" id="Straight Connector 10" o:spid="_x0000_s1026" style="position:absolute;flip:y;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pt" to="4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G9vwEAAMQDAAAOAAAAZHJzL2Uyb0RvYy54bWysU8tu2zAQvBfoPxC815LtxGgEyzkkSC9F&#10;G7RJ7wy1tIjyBZK15L/vcmUrRVIgQNELwcfO7M7scns9WsMOEJP2ruXLRc0ZOOk77fYtf3y4+/CR&#10;s5SF64TxDlp+hMSvd+/fbYfQwMr33nQQGZK41Ayh5X3OoamqJHuwIi18AIePykcrMh7jvuqiGJDd&#10;mmpV15tq8LEL0UtICW9vp0e+I36lQOavSiXIzLQca8u0RlqfylrttqLZRxF6LU9liH+owgrtMOlM&#10;dSuyYL+ifkVltYw+eZUX0tvKK6UlkAZUs6xfqPneiwCkBc1JYbYp/T9a+eVw4+4j2jCE1KRwH4uK&#10;UUXLlNHhB/aUdGGlbCTbjrNtMGYm8fLy6mK9qdFdiW+ri+WabK0mmkIXYsqfwFtWNi032hVVohGH&#10;zyljagw9h5Rr49jQ8s36kjht6Fqee+0esEU/S8Oq51Jpl48GJtw3UEx3WNKa+GmK4MZEdhDYfyEl&#10;uLwkipIFowtMaWNmYP028BRfoEATNoNXb4NnBGX2Ls9gq52PfyPI47lkNcWfHZh0FwuefHekJpI1&#10;OCrk6Wmsyyz+eSb48+fb/QYAAP//AwBQSwMEFAAGAAgAAAAhALRWYgvfAAAACAEAAA8AAABkcnMv&#10;ZG93bnJldi54bWxMj0FPwkAQhe8m/ofNmHghsLVGoqVbgkY5yEEFjdelO3Qr3dmmu0Dl1zt40dub&#10;eZM338unvWvEHrtQe1JwNUpAIJXe1FQpeF89DW9BhKjJ6MYTKvjGANPi/CzXmfEHesP9MlaCQyhk&#10;WoGNsc2kDKVFp8PIt0jsbXzndOSxq6Tp9IHDXSPTJBlLp2viD1a3+GCx3C53TsHz6uv+5nWwoE+b&#10;4OPxZTD/sLO5UpcX/WwCImIf/47hhM/oUDDT2u/IBNEo4CJRwfB6zILtu1+xPm3SFGSRy/8Fih8A&#10;AAD//wMAUEsBAi0AFAAGAAgAAAAhALaDOJL+AAAA4QEAABMAAAAAAAAAAAAAAAAAAAAAAFtDb250&#10;ZW50X1R5cGVzXS54bWxQSwECLQAUAAYACAAAACEAOP0h/9YAAACUAQAACwAAAAAAAAAAAAAAAAAv&#10;AQAAX3JlbHMvLnJlbHNQSwECLQAUAAYACAAAACEAJlUBvb8BAADEAwAADgAAAAAAAAAAAAAAAAAu&#10;AgAAZHJzL2Uyb0RvYy54bWxQSwECLQAUAAYACAAAACEAtFZiC98AAAAIAQAADwAAAAAAAAAAAAAA&#10;AAAZBAAAZHJzL2Rvd25yZXYueG1sUEsFBgAAAAAEAAQA8wAAACUFAAAAAA==&#10;" strokecolor="#4472c4 [3204]" strokeweight="5pt">
              <v:stroke linestyle="thinThick" joinstyle="miter"/>
              <w10:wrap anchorx="margin"/>
            </v:line>
          </w:pict>
        </mc:Fallback>
      </mc:AlternateContent>
    </w:r>
    <w:r w:rsidR="007323EF" w:rsidRPr="00D62A27">
      <w:rPr>
        <w:rFonts w:ascii="FZ HAND 28" w:hAnsi="FZ HAND 28"/>
        <w:color w:val="FF0000"/>
        <w:sz w:val="40"/>
        <w:szCs w:val="40"/>
      </w:rPr>
      <w:t>Heartfile</w:t>
    </w:r>
    <w:r w:rsidR="007323EF">
      <w:t xml:space="preserve">                                                                                                                                 </w:t>
    </w:r>
    <w:sdt>
      <w:sdtPr>
        <w:id w:val="239375957"/>
        <w:docPartObj>
          <w:docPartGallery w:val="Page Numbers (Bottom of Page)"/>
          <w:docPartUnique/>
        </w:docPartObj>
      </w:sdtPr>
      <w:sdtContent>
        <w:r w:rsidR="007323EF">
          <w:t xml:space="preserve">Page | </w:t>
        </w:r>
        <w:r w:rsidR="007323EF" w:rsidRPr="007323EF">
          <w:rPr>
            <w:b/>
            <w:bCs/>
            <w:sz w:val="28"/>
            <w:szCs w:val="28"/>
          </w:rPr>
          <w:fldChar w:fldCharType="begin"/>
        </w:r>
        <w:r w:rsidR="007323EF" w:rsidRPr="007323EF">
          <w:rPr>
            <w:b/>
            <w:bCs/>
            <w:sz w:val="28"/>
            <w:szCs w:val="28"/>
          </w:rPr>
          <w:instrText xml:space="preserve"> PAGE   \* MERGEFORMAT </w:instrText>
        </w:r>
        <w:r w:rsidR="007323EF" w:rsidRPr="007323EF">
          <w:rPr>
            <w:b/>
            <w:bCs/>
            <w:sz w:val="28"/>
            <w:szCs w:val="28"/>
          </w:rPr>
          <w:fldChar w:fldCharType="separate"/>
        </w:r>
        <w:r w:rsidR="007323EF" w:rsidRPr="007323EF">
          <w:rPr>
            <w:b/>
            <w:bCs/>
            <w:sz w:val="28"/>
            <w:szCs w:val="28"/>
          </w:rPr>
          <w:t>1</w:t>
        </w:r>
        <w:r w:rsidR="007323EF" w:rsidRPr="007323EF">
          <w:rPr>
            <w:b/>
            <w:bCs/>
            <w:sz w:val="28"/>
            <w:szCs w:val="28"/>
          </w:rPr>
          <w:fldChar w:fldCharType="end"/>
        </w:r>
        <w:r w:rsidR="007323EF" w:rsidRPr="007323EF">
          <w:t xml:space="preserve"> </w:t>
        </w:r>
      </w:sdtContent>
    </w:sdt>
  </w:p>
  <w:p w14:paraId="4589F74F" w14:textId="1FB2F224" w:rsidR="007323EF" w:rsidRDefault="007323EF" w:rsidP="006A09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0EC7" w14:textId="77777777" w:rsidR="00F43849" w:rsidRDefault="00F43849" w:rsidP="00470CE8">
      <w:pPr>
        <w:spacing w:after="0" w:line="240" w:lineRule="auto"/>
      </w:pPr>
      <w:r>
        <w:separator/>
      </w:r>
    </w:p>
  </w:footnote>
  <w:footnote w:type="continuationSeparator" w:id="0">
    <w:p w14:paraId="24525668" w14:textId="77777777" w:rsidR="00F43849" w:rsidRDefault="00F43849" w:rsidP="00470CE8">
      <w:pPr>
        <w:spacing w:after="0" w:line="240" w:lineRule="auto"/>
      </w:pPr>
      <w:r>
        <w:continuationSeparator/>
      </w:r>
    </w:p>
  </w:footnote>
  <w:footnote w:id="1">
    <w:p w14:paraId="7D37AFA6" w14:textId="6139BB82" w:rsidR="00D27D9C" w:rsidRDefault="00D27D9C">
      <w:pPr>
        <w:pStyle w:val="FootnoteText"/>
      </w:pPr>
      <w:r w:rsidRPr="007323EF">
        <w:rPr>
          <w:rStyle w:val="FootnoteReference"/>
          <w:sz w:val="18"/>
          <w:szCs w:val="18"/>
        </w:rPr>
        <w:footnoteRef/>
      </w:r>
      <w:r w:rsidRPr="007323EF">
        <w:rPr>
          <w:sz w:val="18"/>
          <w:szCs w:val="18"/>
        </w:rPr>
        <w:t xml:space="preserve"> Researcher, Center for Epidemiological Research in Nutrition and Public Health, University of São Paulo, São Paulo,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41A2" w14:textId="77777777" w:rsidR="00A77D50" w:rsidRDefault="00A77D50" w:rsidP="0058307E">
    <w:pPr>
      <w:pStyle w:val="Header"/>
      <w:jc w:val="right"/>
    </w:pPr>
    <w:r>
      <w:rPr>
        <w:noProof/>
      </w:rPr>
      <mc:AlternateContent>
        <mc:Choice Requires="wps">
          <w:drawing>
            <wp:anchor distT="0" distB="0" distL="114300" distR="114300" simplePos="0" relativeHeight="251679744" behindDoc="0" locked="0" layoutInCell="1" allowOverlap="1" wp14:anchorId="6D2C91C8" wp14:editId="61E18CC1">
              <wp:simplePos x="0" y="0"/>
              <wp:positionH relativeFrom="margin">
                <wp:align>right</wp:align>
              </wp:positionH>
              <wp:positionV relativeFrom="paragraph">
                <wp:posOffset>256540</wp:posOffset>
              </wp:positionV>
              <wp:extent cx="3749040" cy="10274"/>
              <wp:effectExtent l="0" t="0" r="22860" b="27940"/>
              <wp:wrapNone/>
              <wp:docPr id="327017850" name="Straight Connector 9"/>
              <wp:cNvGraphicFramePr/>
              <a:graphic xmlns:a="http://schemas.openxmlformats.org/drawingml/2006/main">
                <a:graphicData uri="http://schemas.microsoft.com/office/word/2010/wordprocessingShape">
                  <wps:wsp>
                    <wps:cNvCnPr/>
                    <wps:spPr>
                      <a:xfrm flipV="1">
                        <a:off x="0" y="0"/>
                        <a:ext cx="3749040" cy="10274"/>
                      </a:xfrm>
                      <a:prstGeom prst="line">
                        <a:avLst/>
                      </a:prstGeom>
                      <a:ln cap="rnd" cmpd="thickThin">
                        <a:solidFill>
                          <a:schemeClr val="accent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0DAC9" id="Straight Connector 9" o:spid="_x0000_s1026" style="position:absolute;flip:y;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44pt,20.2pt" to="53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6P7AEAAFUEAAAOAAAAZHJzL2Uyb0RvYy54bWysVE1v3CAUvFfqf0Dcs/ZuVk1rrTeHpOml&#10;aqM27Z3AY43Cl4Cu7X/fB/Y6/VLUVrkgDPOGN8Pg3eVgNDlCiMrZlq5XNSVguRPKHlr65e7m7DUl&#10;MTErmHYWWjpCpJf7ly92vW9g4zqnBQSCJDY2vW9pl5JvqiryDgyLK+fB4qZ0wbCEn+FQicB6ZDe6&#10;2tT1q6p3QfjgOMSIq9fTJt0XfimBp49SRkhEtxR7S2UMZbzPY7XfseYQmO8Un9tg/9GFYcrioQvV&#10;NUuMfAvqNyqjeHDRybTizlROSsWhaEA16/oXNZ875qFoQXOiX2yKz0fLPxyv7G1AG3ofm+hvQ1Yx&#10;yGCI1Mp/xTsturBTMhTbxsU2GBLhuHh+sX1Tb9FdjnvrenOxzbZWE02m8yGmd+AMyZOWamWzKtaw&#10;4/uYJugJkpe1JZxhFoIVyGm8aGnC63m462aTo9NK3CitM7pEBa50IEeGl8w4B5vWcwc/ITtg4q0V&#10;JI0ek2gxj5T0LTWAx2jA+OZZCURiSv8NEjVqi1IfvSuzNGqYhHwCSZRAjyYXn+xVW0TnMonKlsK6&#10;OPVk4YzPpVAi/y/FS0U52dm0FBtlXfjT6Wk42Ssn/MmBSXe24N6JsaSqWIPZLXmY31l+HD9+l/LH&#10;v8H+OwAAAP//AwBQSwMEFAAGAAgAAAAhAE1GCQnbAAAABgEAAA8AAABkcnMvZG93bnJldi54bWxM&#10;j0FPwzAMhe9I/IfISNxYwlTQ6JpOCATiwIUBd6/x2tLEKU3Wtfx6shPc/Pys9z4Xm8lZMdIQWs8a&#10;rhcKBHHlTcu1ho/3p6sViBCRDVrPpGGmAJvy/KzA3Pgjv9G4jbVIIRxy1NDE2OdShqohh2Hhe+Lk&#10;7f3gMCY51NIMeEzhzsqlUrfSYcupocGeHhqquu3BabD48kWfr134eTSruZuz8bn7llpfXkz3axCR&#10;pvh3DCf8hA5lYtr5A5sgrIb0SNSQqQxEcm/uTsMuLZYKZFnI//jlLwAAAP//AwBQSwECLQAUAAYA&#10;CAAAACEAtoM4kv4AAADhAQAAEwAAAAAAAAAAAAAAAAAAAAAAW0NvbnRlbnRfVHlwZXNdLnhtbFBL&#10;AQItABQABgAIAAAAIQA4/SH/1gAAAJQBAAALAAAAAAAAAAAAAAAAAC8BAABfcmVscy8ucmVsc1BL&#10;AQItABQABgAIAAAAIQAwvI6P7AEAAFUEAAAOAAAAAAAAAAAAAAAAAC4CAABkcnMvZTJvRG9jLnht&#10;bFBLAQItABQABgAIAAAAIQBNRgkJ2wAAAAYBAAAPAAAAAAAAAAAAAAAAAEYEAABkcnMvZG93bnJl&#10;di54bWxQSwUGAAAAAAQABADzAAAATgUAAAAA&#10;" strokecolor="#4472c4 [3204]" strokeweight=".5pt">
              <v:stroke linestyle="thickThin" joinstyle="miter" endcap="round"/>
              <w10:wrap anchorx="margin"/>
            </v:line>
          </w:pict>
        </mc:Fallback>
      </mc:AlternateContent>
    </w:r>
    <w:r w:rsidRPr="0058307E">
      <w:t>Cost-effectiveness of Trans Fat elimination policies in Pakistan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8D7"/>
    <w:multiLevelType w:val="hybridMultilevel"/>
    <w:tmpl w:val="128CF608"/>
    <w:lvl w:ilvl="0" w:tplc="442A727C">
      <w:start w:val="1"/>
      <w:numFmt w:val="bullet"/>
      <w:lvlText w:val="•"/>
      <w:lvlJc w:val="left"/>
      <w:pPr>
        <w:tabs>
          <w:tab w:val="num" w:pos="720"/>
        </w:tabs>
        <w:ind w:left="720" w:hanging="360"/>
      </w:pPr>
      <w:rPr>
        <w:rFonts w:ascii="Arial" w:hAnsi="Arial" w:hint="default"/>
      </w:rPr>
    </w:lvl>
    <w:lvl w:ilvl="1" w:tplc="6860C2A2" w:tentative="1">
      <w:start w:val="1"/>
      <w:numFmt w:val="bullet"/>
      <w:lvlText w:val="•"/>
      <w:lvlJc w:val="left"/>
      <w:pPr>
        <w:tabs>
          <w:tab w:val="num" w:pos="1440"/>
        </w:tabs>
        <w:ind w:left="1440" w:hanging="360"/>
      </w:pPr>
      <w:rPr>
        <w:rFonts w:ascii="Arial" w:hAnsi="Arial" w:hint="default"/>
      </w:rPr>
    </w:lvl>
    <w:lvl w:ilvl="2" w:tplc="789422A4" w:tentative="1">
      <w:start w:val="1"/>
      <w:numFmt w:val="bullet"/>
      <w:lvlText w:val="•"/>
      <w:lvlJc w:val="left"/>
      <w:pPr>
        <w:tabs>
          <w:tab w:val="num" w:pos="2160"/>
        </w:tabs>
        <w:ind w:left="2160" w:hanging="360"/>
      </w:pPr>
      <w:rPr>
        <w:rFonts w:ascii="Arial" w:hAnsi="Arial" w:hint="default"/>
      </w:rPr>
    </w:lvl>
    <w:lvl w:ilvl="3" w:tplc="42784320" w:tentative="1">
      <w:start w:val="1"/>
      <w:numFmt w:val="bullet"/>
      <w:lvlText w:val="•"/>
      <w:lvlJc w:val="left"/>
      <w:pPr>
        <w:tabs>
          <w:tab w:val="num" w:pos="2880"/>
        </w:tabs>
        <w:ind w:left="2880" w:hanging="360"/>
      </w:pPr>
      <w:rPr>
        <w:rFonts w:ascii="Arial" w:hAnsi="Arial" w:hint="default"/>
      </w:rPr>
    </w:lvl>
    <w:lvl w:ilvl="4" w:tplc="AA4A49E8" w:tentative="1">
      <w:start w:val="1"/>
      <w:numFmt w:val="bullet"/>
      <w:lvlText w:val="•"/>
      <w:lvlJc w:val="left"/>
      <w:pPr>
        <w:tabs>
          <w:tab w:val="num" w:pos="3600"/>
        </w:tabs>
        <w:ind w:left="3600" w:hanging="360"/>
      </w:pPr>
      <w:rPr>
        <w:rFonts w:ascii="Arial" w:hAnsi="Arial" w:hint="default"/>
      </w:rPr>
    </w:lvl>
    <w:lvl w:ilvl="5" w:tplc="BA8C0244" w:tentative="1">
      <w:start w:val="1"/>
      <w:numFmt w:val="bullet"/>
      <w:lvlText w:val="•"/>
      <w:lvlJc w:val="left"/>
      <w:pPr>
        <w:tabs>
          <w:tab w:val="num" w:pos="4320"/>
        </w:tabs>
        <w:ind w:left="4320" w:hanging="360"/>
      </w:pPr>
      <w:rPr>
        <w:rFonts w:ascii="Arial" w:hAnsi="Arial" w:hint="default"/>
      </w:rPr>
    </w:lvl>
    <w:lvl w:ilvl="6" w:tplc="621A0E12" w:tentative="1">
      <w:start w:val="1"/>
      <w:numFmt w:val="bullet"/>
      <w:lvlText w:val="•"/>
      <w:lvlJc w:val="left"/>
      <w:pPr>
        <w:tabs>
          <w:tab w:val="num" w:pos="5040"/>
        </w:tabs>
        <w:ind w:left="5040" w:hanging="360"/>
      </w:pPr>
      <w:rPr>
        <w:rFonts w:ascii="Arial" w:hAnsi="Arial" w:hint="default"/>
      </w:rPr>
    </w:lvl>
    <w:lvl w:ilvl="7" w:tplc="086ECE94" w:tentative="1">
      <w:start w:val="1"/>
      <w:numFmt w:val="bullet"/>
      <w:lvlText w:val="•"/>
      <w:lvlJc w:val="left"/>
      <w:pPr>
        <w:tabs>
          <w:tab w:val="num" w:pos="5760"/>
        </w:tabs>
        <w:ind w:left="5760" w:hanging="360"/>
      </w:pPr>
      <w:rPr>
        <w:rFonts w:ascii="Arial" w:hAnsi="Arial" w:hint="default"/>
      </w:rPr>
    </w:lvl>
    <w:lvl w:ilvl="8" w:tplc="95AEA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071CF6"/>
    <w:multiLevelType w:val="hybridMultilevel"/>
    <w:tmpl w:val="7B48DB96"/>
    <w:lvl w:ilvl="0" w:tplc="81DC7A3C">
      <w:start w:val="1"/>
      <w:numFmt w:val="bullet"/>
      <w:lvlText w:val="•"/>
      <w:lvlJc w:val="left"/>
      <w:pPr>
        <w:tabs>
          <w:tab w:val="num" w:pos="720"/>
        </w:tabs>
        <w:ind w:left="720" w:hanging="360"/>
      </w:pPr>
      <w:rPr>
        <w:rFonts w:ascii="Arial" w:hAnsi="Arial" w:hint="default"/>
      </w:rPr>
    </w:lvl>
    <w:lvl w:ilvl="1" w:tplc="D03C4244">
      <w:numFmt w:val="bullet"/>
      <w:lvlText w:val="•"/>
      <w:lvlJc w:val="left"/>
      <w:pPr>
        <w:tabs>
          <w:tab w:val="num" w:pos="1440"/>
        </w:tabs>
        <w:ind w:left="1440" w:hanging="360"/>
      </w:pPr>
      <w:rPr>
        <w:rFonts w:ascii="Arial" w:hAnsi="Arial" w:hint="default"/>
      </w:rPr>
    </w:lvl>
    <w:lvl w:ilvl="2" w:tplc="9E26AE74" w:tentative="1">
      <w:start w:val="1"/>
      <w:numFmt w:val="bullet"/>
      <w:lvlText w:val="•"/>
      <w:lvlJc w:val="left"/>
      <w:pPr>
        <w:tabs>
          <w:tab w:val="num" w:pos="2160"/>
        </w:tabs>
        <w:ind w:left="2160" w:hanging="360"/>
      </w:pPr>
      <w:rPr>
        <w:rFonts w:ascii="Arial" w:hAnsi="Arial" w:hint="default"/>
      </w:rPr>
    </w:lvl>
    <w:lvl w:ilvl="3" w:tplc="4534522C" w:tentative="1">
      <w:start w:val="1"/>
      <w:numFmt w:val="bullet"/>
      <w:lvlText w:val="•"/>
      <w:lvlJc w:val="left"/>
      <w:pPr>
        <w:tabs>
          <w:tab w:val="num" w:pos="2880"/>
        </w:tabs>
        <w:ind w:left="2880" w:hanging="360"/>
      </w:pPr>
      <w:rPr>
        <w:rFonts w:ascii="Arial" w:hAnsi="Arial" w:hint="default"/>
      </w:rPr>
    </w:lvl>
    <w:lvl w:ilvl="4" w:tplc="D67ABB98" w:tentative="1">
      <w:start w:val="1"/>
      <w:numFmt w:val="bullet"/>
      <w:lvlText w:val="•"/>
      <w:lvlJc w:val="left"/>
      <w:pPr>
        <w:tabs>
          <w:tab w:val="num" w:pos="3600"/>
        </w:tabs>
        <w:ind w:left="3600" w:hanging="360"/>
      </w:pPr>
      <w:rPr>
        <w:rFonts w:ascii="Arial" w:hAnsi="Arial" w:hint="default"/>
      </w:rPr>
    </w:lvl>
    <w:lvl w:ilvl="5" w:tplc="3F0E4562" w:tentative="1">
      <w:start w:val="1"/>
      <w:numFmt w:val="bullet"/>
      <w:lvlText w:val="•"/>
      <w:lvlJc w:val="left"/>
      <w:pPr>
        <w:tabs>
          <w:tab w:val="num" w:pos="4320"/>
        </w:tabs>
        <w:ind w:left="4320" w:hanging="360"/>
      </w:pPr>
      <w:rPr>
        <w:rFonts w:ascii="Arial" w:hAnsi="Arial" w:hint="default"/>
      </w:rPr>
    </w:lvl>
    <w:lvl w:ilvl="6" w:tplc="27D814DE" w:tentative="1">
      <w:start w:val="1"/>
      <w:numFmt w:val="bullet"/>
      <w:lvlText w:val="•"/>
      <w:lvlJc w:val="left"/>
      <w:pPr>
        <w:tabs>
          <w:tab w:val="num" w:pos="5040"/>
        </w:tabs>
        <w:ind w:left="5040" w:hanging="360"/>
      </w:pPr>
      <w:rPr>
        <w:rFonts w:ascii="Arial" w:hAnsi="Arial" w:hint="default"/>
      </w:rPr>
    </w:lvl>
    <w:lvl w:ilvl="7" w:tplc="F32EB962" w:tentative="1">
      <w:start w:val="1"/>
      <w:numFmt w:val="bullet"/>
      <w:lvlText w:val="•"/>
      <w:lvlJc w:val="left"/>
      <w:pPr>
        <w:tabs>
          <w:tab w:val="num" w:pos="5760"/>
        </w:tabs>
        <w:ind w:left="5760" w:hanging="360"/>
      </w:pPr>
      <w:rPr>
        <w:rFonts w:ascii="Arial" w:hAnsi="Arial" w:hint="default"/>
      </w:rPr>
    </w:lvl>
    <w:lvl w:ilvl="8" w:tplc="5358B5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807DAD"/>
    <w:multiLevelType w:val="hybridMultilevel"/>
    <w:tmpl w:val="46686500"/>
    <w:lvl w:ilvl="0" w:tplc="3F563E4E">
      <w:start w:val="1"/>
      <w:numFmt w:val="bullet"/>
      <w:lvlText w:val="•"/>
      <w:lvlJc w:val="left"/>
      <w:pPr>
        <w:tabs>
          <w:tab w:val="num" w:pos="720"/>
        </w:tabs>
        <w:ind w:left="720" w:hanging="360"/>
      </w:pPr>
      <w:rPr>
        <w:rFonts w:ascii="Arial" w:hAnsi="Arial" w:hint="default"/>
      </w:rPr>
    </w:lvl>
    <w:lvl w:ilvl="1" w:tplc="88467460">
      <w:numFmt w:val="bullet"/>
      <w:lvlText w:val="•"/>
      <w:lvlJc w:val="left"/>
      <w:pPr>
        <w:tabs>
          <w:tab w:val="num" w:pos="1440"/>
        </w:tabs>
        <w:ind w:left="1440" w:hanging="360"/>
      </w:pPr>
      <w:rPr>
        <w:rFonts w:ascii="Arial" w:hAnsi="Arial" w:hint="default"/>
      </w:rPr>
    </w:lvl>
    <w:lvl w:ilvl="2" w:tplc="1E3EAC20" w:tentative="1">
      <w:start w:val="1"/>
      <w:numFmt w:val="bullet"/>
      <w:lvlText w:val="•"/>
      <w:lvlJc w:val="left"/>
      <w:pPr>
        <w:tabs>
          <w:tab w:val="num" w:pos="2160"/>
        </w:tabs>
        <w:ind w:left="2160" w:hanging="360"/>
      </w:pPr>
      <w:rPr>
        <w:rFonts w:ascii="Arial" w:hAnsi="Arial" w:hint="default"/>
      </w:rPr>
    </w:lvl>
    <w:lvl w:ilvl="3" w:tplc="F34C6802" w:tentative="1">
      <w:start w:val="1"/>
      <w:numFmt w:val="bullet"/>
      <w:lvlText w:val="•"/>
      <w:lvlJc w:val="left"/>
      <w:pPr>
        <w:tabs>
          <w:tab w:val="num" w:pos="2880"/>
        </w:tabs>
        <w:ind w:left="2880" w:hanging="360"/>
      </w:pPr>
      <w:rPr>
        <w:rFonts w:ascii="Arial" w:hAnsi="Arial" w:hint="default"/>
      </w:rPr>
    </w:lvl>
    <w:lvl w:ilvl="4" w:tplc="92FEACA6" w:tentative="1">
      <w:start w:val="1"/>
      <w:numFmt w:val="bullet"/>
      <w:lvlText w:val="•"/>
      <w:lvlJc w:val="left"/>
      <w:pPr>
        <w:tabs>
          <w:tab w:val="num" w:pos="3600"/>
        </w:tabs>
        <w:ind w:left="3600" w:hanging="360"/>
      </w:pPr>
      <w:rPr>
        <w:rFonts w:ascii="Arial" w:hAnsi="Arial" w:hint="default"/>
      </w:rPr>
    </w:lvl>
    <w:lvl w:ilvl="5" w:tplc="E0860AAA" w:tentative="1">
      <w:start w:val="1"/>
      <w:numFmt w:val="bullet"/>
      <w:lvlText w:val="•"/>
      <w:lvlJc w:val="left"/>
      <w:pPr>
        <w:tabs>
          <w:tab w:val="num" w:pos="4320"/>
        </w:tabs>
        <w:ind w:left="4320" w:hanging="360"/>
      </w:pPr>
      <w:rPr>
        <w:rFonts w:ascii="Arial" w:hAnsi="Arial" w:hint="default"/>
      </w:rPr>
    </w:lvl>
    <w:lvl w:ilvl="6" w:tplc="7696B692" w:tentative="1">
      <w:start w:val="1"/>
      <w:numFmt w:val="bullet"/>
      <w:lvlText w:val="•"/>
      <w:lvlJc w:val="left"/>
      <w:pPr>
        <w:tabs>
          <w:tab w:val="num" w:pos="5040"/>
        </w:tabs>
        <w:ind w:left="5040" w:hanging="360"/>
      </w:pPr>
      <w:rPr>
        <w:rFonts w:ascii="Arial" w:hAnsi="Arial" w:hint="default"/>
      </w:rPr>
    </w:lvl>
    <w:lvl w:ilvl="7" w:tplc="733E8E6A" w:tentative="1">
      <w:start w:val="1"/>
      <w:numFmt w:val="bullet"/>
      <w:lvlText w:val="•"/>
      <w:lvlJc w:val="left"/>
      <w:pPr>
        <w:tabs>
          <w:tab w:val="num" w:pos="5760"/>
        </w:tabs>
        <w:ind w:left="5760" w:hanging="360"/>
      </w:pPr>
      <w:rPr>
        <w:rFonts w:ascii="Arial" w:hAnsi="Arial" w:hint="default"/>
      </w:rPr>
    </w:lvl>
    <w:lvl w:ilvl="8" w:tplc="EE8E57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E33FB2"/>
    <w:multiLevelType w:val="hybridMultilevel"/>
    <w:tmpl w:val="8D0CADD8"/>
    <w:lvl w:ilvl="0" w:tplc="BE6E0480">
      <w:start w:val="1"/>
      <w:numFmt w:val="bullet"/>
      <w:lvlText w:val="•"/>
      <w:lvlJc w:val="left"/>
      <w:pPr>
        <w:tabs>
          <w:tab w:val="num" w:pos="720"/>
        </w:tabs>
        <w:ind w:left="720" w:hanging="360"/>
      </w:pPr>
      <w:rPr>
        <w:rFonts w:ascii="Arial" w:hAnsi="Arial" w:hint="default"/>
      </w:rPr>
    </w:lvl>
    <w:lvl w:ilvl="1" w:tplc="22C44056">
      <w:start w:val="1"/>
      <w:numFmt w:val="bullet"/>
      <w:lvlText w:val="•"/>
      <w:lvlJc w:val="left"/>
      <w:pPr>
        <w:tabs>
          <w:tab w:val="num" w:pos="1440"/>
        </w:tabs>
        <w:ind w:left="1440" w:hanging="360"/>
      </w:pPr>
      <w:rPr>
        <w:rFonts w:ascii="Arial" w:hAnsi="Arial" w:hint="default"/>
      </w:rPr>
    </w:lvl>
    <w:lvl w:ilvl="2" w:tplc="960E31F4" w:tentative="1">
      <w:start w:val="1"/>
      <w:numFmt w:val="bullet"/>
      <w:lvlText w:val="•"/>
      <w:lvlJc w:val="left"/>
      <w:pPr>
        <w:tabs>
          <w:tab w:val="num" w:pos="2160"/>
        </w:tabs>
        <w:ind w:left="2160" w:hanging="360"/>
      </w:pPr>
      <w:rPr>
        <w:rFonts w:ascii="Arial" w:hAnsi="Arial" w:hint="default"/>
      </w:rPr>
    </w:lvl>
    <w:lvl w:ilvl="3" w:tplc="D7BE1C40" w:tentative="1">
      <w:start w:val="1"/>
      <w:numFmt w:val="bullet"/>
      <w:lvlText w:val="•"/>
      <w:lvlJc w:val="left"/>
      <w:pPr>
        <w:tabs>
          <w:tab w:val="num" w:pos="2880"/>
        </w:tabs>
        <w:ind w:left="2880" w:hanging="360"/>
      </w:pPr>
      <w:rPr>
        <w:rFonts w:ascii="Arial" w:hAnsi="Arial" w:hint="default"/>
      </w:rPr>
    </w:lvl>
    <w:lvl w:ilvl="4" w:tplc="2F38C95A" w:tentative="1">
      <w:start w:val="1"/>
      <w:numFmt w:val="bullet"/>
      <w:lvlText w:val="•"/>
      <w:lvlJc w:val="left"/>
      <w:pPr>
        <w:tabs>
          <w:tab w:val="num" w:pos="3600"/>
        </w:tabs>
        <w:ind w:left="3600" w:hanging="360"/>
      </w:pPr>
      <w:rPr>
        <w:rFonts w:ascii="Arial" w:hAnsi="Arial" w:hint="default"/>
      </w:rPr>
    </w:lvl>
    <w:lvl w:ilvl="5" w:tplc="3DD8E166" w:tentative="1">
      <w:start w:val="1"/>
      <w:numFmt w:val="bullet"/>
      <w:lvlText w:val="•"/>
      <w:lvlJc w:val="left"/>
      <w:pPr>
        <w:tabs>
          <w:tab w:val="num" w:pos="4320"/>
        </w:tabs>
        <w:ind w:left="4320" w:hanging="360"/>
      </w:pPr>
      <w:rPr>
        <w:rFonts w:ascii="Arial" w:hAnsi="Arial" w:hint="default"/>
      </w:rPr>
    </w:lvl>
    <w:lvl w:ilvl="6" w:tplc="A9CA5BC4" w:tentative="1">
      <w:start w:val="1"/>
      <w:numFmt w:val="bullet"/>
      <w:lvlText w:val="•"/>
      <w:lvlJc w:val="left"/>
      <w:pPr>
        <w:tabs>
          <w:tab w:val="num" w:pos="5040"/>
        </w:tabs>
        <w:ind w:left="5040" w:hanging="360"/>
      </w:pPr>
      <w:rPr>
        <w:rFonts w:ascii="Arial" w:hAnsi="Arial" w:hint="default"/>
      </w:rPr>
    </w:lvl>
    <w:lvl w:ilvl="7" w:tplc="ECFE63EC" w:tentative="1">
      <w:start w:val="1"/>
      <w:numFmt w:val="bullet"/>
      <w:lvlText w:val="•"/>
      <w:lvlJc w:val="left"/>
      <w:pPr>
        <w:tabs>
          <w:tab w:val="num" w:pos="5760"/>
        </w:tabs>
        <w:ind w:left="5760" w:hanging="360"/>
      </w:pPr>
      <w:rPr>
        <w:rFonts w:ascii="Arial" w:hAnsi="Arial" w:hint="default"/>
      </w:rPr>
    </w:lvl>
    <w:lvl w:ilvl="8" w:tplc="CE9264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477C79"/>
    <w:multiLevelType w:val="hybridMultilevel"/>
    <w:tmpl w:val="F9864050"/>
    <w:lvl w:ilvl="0" w:tplc="A3E2937C">
      <w:start w:val="1"/>
      <w:numFmt w:val="bullet"/>
      <w:lvlText w:val="•"/>
      <w:lvlJc w:val="left"/>
      <w:pPr>
        <w:tabs>
          <w:tab w:val="num" w:pos="720"/>
        </w:tabs>
        <w:ind w:left="720" w:hanging="360"/>
      </w:pPr>
      <w:rPr>
        <w:rFonts w:ascii="Arial" w:hAnsi="Arial" w:hint="default"/>
      </w:rPr>
    </w:lvl>
    <w:lvl w:ilvl="1" w:tplc="665099D2" w:tentative="1">
      <w:start w:val="1"/>
      <w:numFmt w:val="bullet"/>
      <w:lvlText w:val="•"/>
      <w:lvlJc w:val="left"/>
      <w:pPr>
        <w:tabs>
          <w:tab w:val="num" w:pos="1440"/>
        </w:tabs>
        <w:ind w:left="1440" w:hanging="360"/>
      </w:pPr>
      <w:rPr>
        <w:rFonts w:ascii="Arial" w:hAnsi="Arial" w:hint="default"/>
      </w:rPr>
    </w:lvl>
    <w:lvl w:ilvl="2" w:tplc="8842C2CE" w:tentative="1">
      <w:start w:val="1"/>
      <w:numFmt w:val="bullet"/>
      <w:lvlText w:val="•"/>
      <w:lvlJc w:val="left"/>
      <w:pPr>
        <w:tabs>
          <w:tab w:val="num" w:pos="2160"/>
        </w:tabs>
        <w:ind w:left="2160" w:hanging="360"/>
      </w:pPr>
      <w:rPr>
        <w:rFonts w:ascii="Arial" w:hAnsi="Arial" w:hint="default"/>
      </w:rPr>
    </w:lvl>
    <w:lvl w:ilvl="3" w:tplc="DC44A944" w:tentative="1">
      <w:start w:val="1"/>
      <w:numFmt w:val="bullet"/>
      <w:lvlText w:val="•"/>
      <w:lvlJc w:val="left"/>
      <w:pPr>
        <w:tabs>
          <w:tab w:val="num" w:pos="2880"/>
        </w:tabs>
        <w:ind w:left="2880" w:hanging="360"/>
      </w:pPr>
      <w:rPr>
        <w:rFonts w:ascii="Arial" w:hAnsi="Arial" w:hint="default"/>
      </w:rPr>
    </w:lvl>
    <w:lvl w:ilvl="4" w:tplc="19C4B556" w:tentative="1">
      <w:start w:val="1"/>
      <w:numFmt w:val="bullet"/>
      <w:lvlText w:val="•"/>
      <w:lvlJc w:val="left"/>
      <w:pPr>
        <w:tabs>
          <w:tab w:val="num" w:pos="3600"/>
        </w:tabs>
        <w:ind w:left="3600" w:hanging="360"/>
      </w:pPr>
      <w:rPr>
        <w:rFonts w:ascii="Arial" w:hAnsi="Arial" w:hint="default"/>
      </w:rPr>
    </w:lvl>
    <w:lvl w:ilvl="5" w:tplc="597C81C0" w:tentative="1">
      <w:start w:val="1"/>
      <w:numFmt w:val="bullet"/>
      <w:lvlText w:val="•"/>
      <w:lvlJc w:val="left"/>
      <w:pPr>
        <w:tabs>
          <w:tab w:val="num" w:pos="4320"/>
        </w:tabs>
        <w:ind w:left="4320" w:hanging="360"/>
      </w:pPr>
      <w:rPr>
        <w:rFonts w:ascii="Arial" w:hAnsi="Arial" w:hint="default"/>
      </w:rPr>
    </w:lvl>
    <w:lvl w:ilvl="6" w:tplc="3E12AFF2" w:tentative="1">
      <w:start w:val="1"/>
      <w:numFmt w:val="bullet"/>
      <w:lvlText w:val="•"/>
      <w:lvlJc w:val="left"/>
      <w:pPr>
        <w:tabs>
          <w:tab w:val="num" w:pos="5040"/>
        </w:tabs>
        <w:ind w:left="5040" w:hanging="360"/>
      </w:pPr>
      <w:rPr>
        <w:rFonts w:ascii="Arial" w:hAnsi="Arial" w:hint="default"/>
      </w:rPr>
    </w:lvl>
    <w:lvl w:ilvl="7" w:tplc="8B78144C" w:tentative="1">
      <w:start w:val="1"/>
      <w:numFmt w:val="bullet"/>
      <w:lvlText w:val="•"/>
      <w:lvlJc w:val="left"/>
      <w:pPr>
        <w:tabs>
          <w:tab w:val="num" w:pos="5760"/>
        </w:tabs>
        <w:ind w:left="5760" w:hanging="360"/>
      </w:pPr>
      <w:rPr>
        <w:rFonts w:ascii="Arial" w:hAnsi="Arial" w:hint="default"/>
      </w:rPr>
    </w:lvl>
    <w:lvl w:ilvl="8" w:tplc="108065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352275"/>
    <w:multiLevelType w:val="hybridMultilevel"/>
    <w:tmpl w:val="350467A8"/>
    <w:lvl w:ilvl="0" w:tplc="0D82B278">
      <w:start w:val="1"/>
      <w:numFmt w:val="bullet"/>
      <w:lvlText w:val="•"/>
      <w:lvlJc w:val="left"/>
      <w:pPr>
        <w:tabs>
          <w:tab w:val="num" w:pos="720"/>
        </w:tabs>
        <w:ind w:left="720" w:hanging="360"/>
      </w:pPr>
      <w:rPr>
        <w:rFonts w:ascii="Arial" w:hAnsi="Arial" w:hint="default"/>
      </w:rPr>
    </w:lvl>
    <w:lvl w:ilvl="1" w:tplc="12A0C69A" w:tentative="1">
      <w:start w:val="1"/>
      <w:numFmt w:val="bullet"/>
      <w:lvlText w:val="•"/>
      <w:lvlJc w:val="left"/>
      <w:pPr>
        <w:tabs>
          <w:tab w:val="num" w:pos="1440"/>
        </w:tabs>
        <w:ind w:left="1440" w:hanging="360"/>
      </w:pPr>
      <w:rPr>
        <w:rFonts w:ascii="Arial" w:hAnsi="Arial" w:hint="default"/>
      </w:rPr>
    </w:lvl>
    <w:lvl w:ilvl="2" w:tplc="B3A8C888" w:tentative="1">
      <w:start w:val="1"/>
      <w:numFmt w:val="bullet"/>
      <w:lvlText w:val="•"/>
      <w:lvlJc w:val="left"/>
      <w:pPr>
        <w:tabs>
          <w:tab w:val="num" w:pos="2160"/>
        </w:tabs>
        <w:ind w:left="2160" w:hanging="360"/>
      </w:pPr>
      <w:rPr>
        <w:rFonts w:ascii="Arial" w:hAnsi="Arial" w:hint="default"/>
      </w:rPr>
    </w:lvl>
    <w:lvl w:ilvl="3" w:tplc="A292557A" w:tentative="1">
      <w:start w:val="1"/>
      <w:numFmt w:val="bullet"/>
      <w:lvlText w:val="•"/>
      <w:lvlJc w:val="left"/>
      <w:pPr>
        <w:tabs>
          <w:tab w:val="num" w:pos="2880"/>
        </w:tabs>
        <w:ind w:left="2880" w:hanging="360"/>
      </w:pPr>
      <w:rPr>
        <w:rFonts w:ascii="Arial" w:hAnsi="Arial" w:hint="default"/>
      </w:rPr>
    </w:lvl>
    <w:lvl w:ilvl="4" w:tplc="AAFE480C" w:tentative="1">
      <w:start w:val="1"/>
      <w:numFmt w:val="bullet"/>
      <w:lvlText w:val="•"/>
      <w:lvlJc w:val="left"/>
      <w:pPr>
        <w:tabs>
          <w:tab w:val="num" w:pos="3600"/>
        </w:tabs>
        <w:ind w:left="3600" w:hanging="360"/>
      </w:pPr>
      <w:rPr>
        <w:rFonts w:ascii="Arial" w:hAnsi="Arial" w:hint="default"/>
      </w:rPr>
    </w:lvl>
    <w:lvl w:ilvl="5" w:tplc="5A9EF8AA" w:tentative="1">
      <w:start w:val="1"/>
      <w:numFmt w:val="bullet"/>
      <w:lvlText w:val="•"/>
      <w:lvlJc w:val="left"/>
      <w:pPr>
        <w:tabs>
          <w:tab w:val="num" w:pos="4320"/>
        </w:tabs>
        <w:ind w:left="4320" w:hanging="360"/>
      </w:pPr>
      <w:rPr>
        <w:rFonts w:ascii="Arial" w:hAnsi="Arial" w:hint="default"/>
      </w:rPr>
    </w:lvl>
    <w:lvl w:ilvl="6" w:tplc="1C02FE52" w:tentative="1">
      <w:start w:val="1"/>
      <w:numFmt w:val="bullet"/>
      <w:lvlText w:val="•"/>
      <w:lvlJc w:val="left"/>
      <w:pPr>
        <w:tabs>
          <w:tab w:val="num" w:pos="5040"/>
        </w:tabs>
        <w:ind w:left="5040" w:hanging="360"/>
      </w:pPr>
      <w:rPr>
        <w:rFonts w:ascii="Arial" w:hAnsi="Arial" w:hint="default"/>
      </w:rPr>
    </w:lvl>
    <w:lvl w:ilvl="7" w:tplc="42E24B7A" w:tentative="1">
      <w:start w:val="1"/>
      <w:numFmt w:val="bullet"/>
      <w:lvlText w:val="•"/>
      <w:lvlJc w:val="left"/>
      <w:pPr>
        <w:tabs>
          <w:tab w:val="num" w:pos="5760"/>
        </w:tabs>
        <w:ind w:left="5760" w:hanging="360"/>
      </w:pPr>
      <w:rPr>
        <w:rFonts w:ascii="Arial" w:hAnsi="Arial" w:hint="default"/>
      </w:rPr>
    </w:lvl>
    <w:lvl w:ilvl="8" w:tplc="F0207D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416532"/>
    <w:multiLevelType w:val="hybridMultilevel"/>
    <w:tmpl w:val="FBFCA262"/>
    <w:lvl w:ilvl="0" w:tplc="FD901DE2">
      <w:start w:val="1"/>
      <w:numFmt w:val="bullet"/>
      <w:lvlText w:val="•"/>
      <w:lvlJc w:val="left"/>
      <w:pPr>
        <w:tabs>
          <w:tab w:val="num" w:pos="720"/>
        </w:tabs>
        <w:ind w:left="720" w:hanging="360"/>
      </w:pPr>
      <w:rPr>
        <w:rFonts w:ascii="Arial" w:hAnsi="Arial" w:hint="default"/>
      </w:rPr>
    </w:lvl>
    <w:lvl w:ilvl="1" w:tplc="B33471CE">
      <w:numFmt w:val="bullet"/>
      <w:lvlText w:val="•"/>
      <w:lvlJc w:val="left"/>
      <w:pPr>
        <w:tabs>
          <w:tab w:val="num" w:pos="1440"/>
        </w:tabs>
        <w:ind w:left="1440" w:hanging="360"/>
      </w:pPr>
      <w:rPr>
        <w:rFonts w:ascii="Arial" w:hAnsi="Arial" w:hint="default"/>
      </w:rPr>
    </w:lvl>
    <w:lvl w:ilvl="2" w:tplc="61963496" w:tentative="1">
      <w:start w:val="1"/>
      <w:numFmt w:val="bullet"/>
      <w:lvlText w:val="•"/>
      <w:lvlJc w:val="left"/>
      <w:pPr>
        <w:tabs>
          <w:tab w:val="num" w:pos="2160"/>
        </w:tabs>
        <w:ind w:left="2160" w:hanging="360"/>
      </w:pPr>
      <w:rPr>
        <w:rFonts w:ascii="Arial" w:hAnsi="Arial" w:hint="default"/>
      </w:rPr>
    </w:lvl>
    <w:lvl w:ilvl="3" w:tplc="E7983522" w:tentative="1">
      <w:start w:val="1"/>
      <w:numFmt w:val="bullet"/>
      <w:lvlText w:val="•"/>
      <w:lvlJc w:val="left"/>
      <w:pPr>
        <w:tabs>
          <w:tab w:val="num" w:pos="2880"/>
        </w:tabs>
        <w:ind w:left="2880" w:hanging="360"/>
      </w:pPr>
      <w:rPr>
        <w:rFonts w:ascii="Arial" w:hAnsi="Arial" w:hint="default"/>
      </w:rPr>
    </w:lvl>
    <w:lvl w:ilvl="4" w:tplc="AEF44CD2" w:tentative="1">
      <w:start w:val="1"/>
      <w:numFmt w:val="bullet"/>
      <w:lvlText w:val="•"/>
      <w:lvlJc w:val="left"/>
      <w:pPr>
        <w:tabs>
          <w:tab w:val="num" w:pos="3600"/>
        </w:tabs>
        <w:ind w:left="3600" w:hanging="360"/>
      </w:pPr>
      <w:rPr>
        <w:rFonts w:ascii="Arial" w:hAnsi="Arial" w:hint="default"/>
      </w:rPr>
    </w:lvl>
    <w:lvl w:ilvl="5" w:tplc="784A1EC6" w:tentative="1">
      <w:start w:val="1"/>
      <w:numFmt w:val="bullet"/>
      <w:lvlText w:val="•"/>
      <w:lvlJc w:val="left"/>
      <w:pPr>
        <w:tabs>
          <w:tab w:val="num" w:pos="4320"/>
        </w:tabs>
        <w:ind w:left="4320" w:hanging="360"/>
      </w:pPr>
      <w:rPr>
        <w:rFonts w:ascii="Arial" w:hAnsi="Arial" w:hint="default"/>
      </w:rPr>
    </w:lvl>
    <w:lvl w:ilvl="6" w:tplc="08806778" w:tentative="1">
      <w:start w:val="1"/>
      <w:numFmt w:val="bullet"/>
      <w:lvlText w:val="•"/>
      <w:lvlJc w:val="left"/>
      <w:pPr>
        <w:tabs>
          <w:tab w:val="num" w:pos="5040"/>
        </w:tabs>
        <w:ind w:left="5040" w:hanging="360"/>
      </w:pPr>
      <w:rPr>
        <w:rFonts w:ascii="Arial" w:hAnsi="Arial" w:hint="default"/>
      </w:rPr>
    </w:lvl>
    <w:lvl w:ilvl="7" w:tplc="CA5815CA" w:tentative="1">
      <w:start w:val="1"/>
      <w:numFmt w:val="bullet"/>
      <w:lvlText w:val="•"/>
      <w:lvlJc w:val="left"/>
      <w:pPr>
        <w:tabs>
          <w:tab w:val="num" w:pos="5760"/>
        </w:tabs>
        <w:ind w:left="5760" w:hanging="360"/>
      </w:pPr>
      <w:rPr>
        <w:rFonts w:ascii="Arial" w:hAnsi="Arial" w:hint="default"/>
      </w:rPr>
    </w:lvl>
    <w:lvl w:ilvl="8" w:tplc="25FCBCF0" w:tentative="1">
      <w:start w:val="1"/>
      <w:numFmt w:val="bullet"/>
      <w:lvlText w:val="•"/>
      <w:lvlJc w:val="left"/>
      <w:pPr>
        <w:tabs>
          <w:tab w:val="num" w:pos="6480"/>
        </w:tabs>
        <w:ind w:left="6480" w:hanging="360"/>
      </w:pPr>
      <w:rPr>
        <w:rFonts w:ascii="Arial" w:hAnsi="Arial" w:hint="default"/>
      </w:rPr>
    </w:lvl>
  </w:abstractNum>
  <w:num w:numId="1" w16cid:durableId="202063653">
    <w:abstractNumId w:val="1"/>
  </w:num>
  <w:num w:numId="2" w16cid:durableId="681784936">
    <w:abstractNumId w:val="6"/>
  </w:num>
  <w:num w:numId="3" w16cid:durableId="711807076">
    <w:abstractNumId w:val="0"/>
  </w:num>
  <w:num w:numId="4" w16cid:durableId="1370566445">
    <w:abstractNumId w:val="3"/>
  </w:num>
  <w:num w:numId="5" w16cid:durableId="166483506">
    <w:abstractNumId w:val="2"/>
  </w:num>
  <w:num w:numId="6" w16cid:durableId="737090926">
    <w:abstractNumId w:val="5"/>
  </w:num>
  <w:num w:numId="7" w16cid:durableId="1217931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1E"/>
    <w:rsid w:val="00024663"/>
    <w:rsid w:val="0003189C"/>
    <w:rsid w:val="00070880"/>
    <w:rsid w:val="00074BD4"/>
    <w:rsid w:val="000D52C5"/>
    <w:rsid w:val="000E4CB6"/>
    <w:rsid w:val="000E70EC"/>
    <w:rsid w:val="00132FA8"/>
    <w:rsid w:val="001336E0"/>
    <w:rsid w:val="00163558"/>
    <w:rsid w:val="00173117"/>
    <w:rsid w:val="00183B7B"/>
    <w:rsid w:val="00195449"/>
    <w:rsid w:val="001B11D6"/>
    <w:rsid w:val="001D0E0E"/>
    <w:rsid w:val="001E50DD"/>
    <w:rsid w:val="002C0725"/>
    <w:rsid w:val="002C6C5C"/>
    <w:rsid w:val="002E53AC"/>
    <w:rsid w:val="0030005E"/>
    <w:rsid w:val="00313950"/>
    <w:rsid w:val="00317176"/>
    <w:rsid w:val="00340B58"/>
    <w:rsid w:val="0035700F"/>
    <w:rsid w:val="003640FF"/>
    <w:rsid w:val="00366703"/>
    <w:rsid w:val="003F541D"/>
    <w:rsid w:val="0040021E"/>
    <w:rsid w:val="00462A32"/>
    <w:rsid w:val="00470CE8"/>
    <w:rsid w:val="00490567"/>
    <w:rsid w:val="004974C6"/>
    <w:rsid w:val="004B5B3B"/>
    <w:rsid w:val="004D625C"/>
    <w:rsid w:val="004E3852"/>
    <w:rsid w:val="004F5568"/>
    <w:rsid w:val="004F72D3"/>
    <w:rsid w:val="00505574"/>
    <w:rsid w:val="005251E1"/>
    <w:rsid w:val="005251F1"/>
    <w:rsid w:val="00566BE1"/>
    <w:rsid w:val="0058307E"/>
    <w:rsid w:val="00583090"/>
    <w:rsid w:val="00584243"/>
    <w:rsid w:val="00591880"/>
    <w:rsid w:val="00592130"/>
    <w:rsid w:val="00621FBE"/>
    <w:rsid w:val="00626E4F"/>
    <w:rsid w:val="006329B3"/>
    <w:rsid w:val="00643738"/>
    <w:rsid w:val="0066776A"/>
    <w:rsid w:val="00685B8E"/>
    <w:rsid w:val="006A09AB"/>
    <w:rsid w:val="006A238B"/>
    <w:rsid w:val="006A4237"/>
    <w:rsid w:val="006A5543"/>
    <w:rsid w:val="006E38E0"/>
    <w:rsid w:val="007112B6"/>
    <w:rsid w:val="00713681"/>
    <w:rsid w:val="007323EF"/>
    <w:rsid w:val="00760335"/>
    <w:rsid w:val="007B6C12"/>
    <w:rsid w:val="007D6855"/>
    <w:rsid w:val="0080034A"/>
    <w:rsid w:val="008158E3"/>
    <w:rsid w:val="00854F29"/>
    <w:rsid w:val="0086211F"/>
    <w:rsid w:val="00876615"/>
    <w:rsid w:val="00895093"/>
    <w:rsid w:val="008C7966"/>
    <w:rsid w:val="008D1241"/>
    <w:rsid w:val="008D19AB"/>
    <w:rsid w:val="00913367"/>
    <w:rsid w:val="009B3218"/>
    <w:rsid w:val="009B7BBE"/>
    <w:rsid w:val="009E6F5A"/>
    <w:rsid w:val="009F486B"/>
    <w:rsid w:val="00A02044"/>
    <w:rsid w:val="00A13D63"/>
    <w:rsid w:val="00A1469D"/>
    <w:rsid w:val="00A30462"/>
    <w:rsid w:val="00A41FEC"/>
    <w:rsid w:val="00A4382C"/>
    <w:rsid w:val="00A77D50"/>
    <w:rsid w:val="00A80287"/>
    <w:rsid w:val="00AA053F"/>
    <w:rsid w:val="00AD763A"/>
    <w:rsid w:val="00AE5787"/>
    <w:rsid w:val="00AF03E3"/>
    <w:rsid w:val="00B34837"/>
    <w:rsid w:val="00B4123C"/>
    <w:rsid w:val="00B459A1"/>
    <w:rsid w:val="00B50D21"/>
    <w:rsid w:val="00B64B16"/>
    <w:rsid w:val="00B96312"/>
    <w:rsid w:val="00B96AD8"/>
    <w:rsid w:val="00BC28EF"/>
    <w:rsid w:val="00BE597E"/>
    <w:rsid w:val="00C31A65"/>
    <w:rsid w:val="00C4036B"/>
    <w:rsid w:val="00C73DBB"/>
    <w:rsid w:val="00C7588F"/>
    <w:rsid w:val="00CA3A9E"/>
    <w:rsid w:val="00CA7ABD"/>
    <w:rsid w:val="00CB6CCB"/>
    <w:rsid w:val="00CC5D25"/>
    <w:rsid w:val="00CD4F7F"/>
    <w:rsid w:val="00CD5B64"/>
    <w:rsid w:val="00CF1FF1"/>
    <w:rsid w:val="00CF23B4"/>
    <w:rsid w:val="00D104EC"/>
    <w:rsid w:val="00D27D9C"/>
    <w:rsid w:val="00D460BD"/>
    <w:rsid w:val="00D62A27"/>
    <w:rsid w:val="00D71436"/>
    <w:rsid w:val="00D83C51"/>
    <w:rsid w:val="00D91BD2"/>
    <w:rsid w:val="00D96C40"/>
    <w:rsid w:val="00DB1007"/>
    <w:rsid w:val="00DB5F67"/>
    <w:rsid w:val="00E05788"/>
    <w:rsid w:val="00E30D86"/>
    <w:rsid w:val="00E35791"/>
    <w:rsid w:val="00E37F51"/>
    <w:rsid w:val="00E468D9"/>
    <w:rsid w:val="00E5540E"/>
    <w:rsid w:val="00E564A5"/>
    <w:rsid w:val="00E77A3C"/>
    <w:rsid w:val="00E84A73"/>
    <w:rsid w:val="00E876B0"/>
    <w:rsid w:val="00E87F73"/>
    <w:rsid w:val="00EB5F19"/>
    <w:rsid w:val="00EC2424"/>
    <w:rsid w:val="00ED135E"/>
    <w:rsid w:val="00ED6072"/>
    <w:rsid w:val="00EE1656"/>
    <w:rsid w:val="00EF57C0"/>
    <w:rsid w:val="00F001DA"/>
    <w:rsid w:val="00F05476"/>
    <w:rsid w:val="00F13AD7"/>
    <w:rsid w:val="00F27C63"/>
    <w:rsid w:val="00F40D5D"/>
    <w:rsid w:val="00F43849"/>
    <w:rsid w:val="00F52766"/>
    <w:rsid w:val="00FB5388"/>
    <w:rsid w:val="00FE2C5D"/>
    <w:rsid w:val="00FE6FC0"/>
    <w:rsid w:val="00FF0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1EC5C"/>
  <w15:chartTrackingRefBased/>
  <w15:docId w15:val="{97F63020-5939-4EAC-955E-1E1A5B15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23C"/>
    <w:pPr>
      <w:keepNext/>
      <w:keepLines/>
      <w:spacing w:before="240" w:after="0"/>
      <w:outlineLvl w:val="0"/>
    </w:pPr>
    <w:rPr>
      <w:rFonts w:asciiTheme="majorHAnsi" w:eastAsiaTheme="majorEastAsia" w:hAnsiTheme="majorHAnsi" w:cstheme="majorBidi"/>
      <w:b/>
      <w:color w:val="1F3864" w:themeColor="accent1" w:themeShade="80"/>
      <w:sz w:val="36"/>
      <w:szCs w:val="32"/>
    </w:rPr>
  </w:style>
  <w:style w:type="paragraph" w:styleId="Heading2">
    <w:name w:val="heading 2"/>
    <w:basedOn w:val="Normal"/>
    <w:next w:val="Normal"/>
    <w:link w:val="Heading2Char"/>
    <w:uiPriority w:val="9"/>
    <w:unhideWhenUsed/>
    <w:qFormat/>
    <w:rsid w:val="00B4123C"/>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CE8"/>
    <w:rPr>
      <w:sz w:val="20"/>
      <w:szCs w:val="20"/>
    </w:rPr>
  </w:style>
  <w:style w:type="character" w:styleId="FootnoteReference">
    <w:name w:val="footnote reference"/>
    <w:basedOn w:val="DefaultParagraphFont"/>
    <w:uiPriority w:val="99"/>
    <w:semiHidden/>
    <w:unhideWhenUsed/>
    <w:rsid w:val="00470CE8"/>
    <w:rPr>
      <w:vertAlign w:val="superscript"/>
    </w:rPr>
  </w:style>
  <w:style w:type="paragraph" w:styleId="Header">
    <w:name w:val="header"/>
    <w:basedOn w:val="Normal"/>
    <w:link w:val="HeaderChar"/>
    <w:uiPriority w:val="99"/>
    <w:unhideWhenUsed/>
    <w:rsid w:val="00D4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BD"/>
  </w:style>
  <w:style w:type="paragraph" w:styleId="Footer">
    <w:name w:val="footer"/>
    <w:basedOn w:val="Normal"/>
    <w:link w:val="FooterChar"/>
    <w:uiPriority w:val="99"/>
    <w:unhideWhenUsed/>
    <w:qFormat/>
    <w:rsid w:val="00D4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BD"/>
  </w:style>
  <w:style w:type="paragraph" w:styleId="Caption">
    <w:name w:val="caption"/>
    <w:basedOn w:val="Normal"/>
    <w:next w:val="Normal"/>
    <w:uiPriority w:val="35"/>
    <w:unhideWhenUsed/>
    <w:qFormat/>
    <w:rsid w:val="00AD763A"/>
    <w:pPr>
      <w:spacing w:after="200" w:line="240" w:lineRule="auto"/>
    </w:pPr>
    <w:rPr>
      <w:i/>
      <w:iCs/>
      <w:color w:val="44546A" w:themeColor="text2"/>
      <w:sz w:val="18"/>
      <w:szCs w:val="18"/>
    </w:rPr>
  </w:style>
  <w:style w:type="table" w:styleId="TableGrid">
    <w:name w:val="Table Grid"/>
    <w:basedOn w:val="TableNormal"/>
    <w:uiPriority w:val="39"/>
    <w:rsid w:val="00EE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E16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B4123C"/>
    <w:rPr>
      <w:rFonts w:asciiTheme="majorHAnsi" w:eastAsiaTheme="majorEastAsia" w:hAnsiTheme="majorHAnsi" w:cstheme="majorBidi"/>
      <w:b/>
      <w:color w:val="1F3864" w:themeColor="accent1" w:themeShade="80"/>
      <w:sz w:val="36"/>
      <w:szCs w:val="32"/>
    </w:rPr>
  </w:style>
  <w:style w:type="character" w:customStyle="1" w:styleId="Heading2Char">
    <w:name w:val="Heading 2 Char"/>
    <w:basedOn w:val="DefaultParagraphFont"/>
    <w:link w:val="Heading2"/>
    <w:uiPriority w:val="9"/>
    <w:rsid w:val="00B4123C"/>
    <w:rPr>
      <w:rFonts w:asciiTheme="majorHAnsi" w:eastAsiaTheme="majorEastAsia" w:hAnsiTheme="majorHAnsi" w:cstheme="majorBidi"/>
      <w:b/>
      <w:color w:val="2F5496" w:themeColor="accent1" w:themeShade="BF"/>
      <w:sz w:val="28"/>
      <w:szCs w:val="26"/>
    </w:rPr>
  </w:style>
  <w:style w:type="paragraph" w:styleId="Title">
    <w:name w:val="Title"/>
    <w:basedOn w:val="Normal"/>
    <w:next w:val="Normal"/>
    <w:link w:val="TitleChar"/>
    <w:uiPriority w:val="10"/>
    <w:qFormat/>
    <w:rsid w:val="00D27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D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034A"/>
    <w:rPr>
      <w:color w:val="0563C1" w:themeColor="hyperlink"/>
      <w:u w:val="single"/>
    </w:rPr>
  </w:style>
  <w:style w:type="character" w:styleId="UnresolvedMention">
    <w:name w:val="Unresolved Mention"/>
    <w:basedOn w:val="DefaultParagraphFont"/>
    <w:uiPriority w:val="99"/>
    <w:semiHidden/>
    <w:unhideWhenUsed/>
    <w:rsid w:val="0080034A"/>
    <w:rPr>
      <w:color w:val="605E5C"/>
      <w:shd w:val="clear" w:color="auto" w:fill="E1DFDD"/>
    </w:rPr>
  </w:style>
  <w:style w:type="table" w:styleId="GridTable5Dark-Accent3">
    <w:name w:val="Grid Table 5 Dark Accent 3"/>
    <w:basedOn w:val="TableNormal"/>
    <w:uiPriority w:val="50"/>
    <w:rsid w:val="00D71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3139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D4F7F"/>
    <w:pPr>
      <w:spacing w:after="0" w:line="240" w:lineRule="auto"/>
    </w:pPr>
    <w:rPr>
      <w:color w:val="44546A" w:themeColor="text2"/>
      <w:sz w:val="20"/>
      <w:szCs w:val="20"/>
    </w:rPr>
  </w:style>
  <w:style w:type="table" w:customStyle="1" w:styleId="DefaultTableStyle">
    <w:name w:val="Default Table Style"/>
    <w:basedOn w:val="TableNormal"/>
    <w:uiPriority w:val="99"/>
    <w:rsid w:val="00B4123C"/>
    <w:pPr>
      <w:spacing w:after="0" w:line="240" w:lineRule="auto"/>
    </w:pPr>
    <w:tblPr/>
  </w:style>
  <w:style w:type="paragraph" w:styleId="TOCHeading">
    <w:name w:val="TOC Heading"/>
    <w:basedOn w:val="Heading1"/>
    <w:next w:val="Normal"/>
    <w:uiPriority w:val="39"/>
    <w:unhideWhenUsed/>
    <w:qFormat/>
    <w:rsid w:val="006A09AB"/>
    <w:pPr>
      <w:outlineLvl w:val="9"/>
    </w:pPr>
    <w:rPr>
      <w:b w:val="0"/>
      <w:color w:val="2F5496" w:themeColor="accent1" w:themeShade="BF"/>
      <w:sz w:val="32"/>
    </w:rPr>
  </w:style>
  <w:style w:type="paragraph" w:styleId="TOC1">
    <w:name w:val="toc 1"/>
    <w:basedOn w:val="Normal"/>
    <w:next w:val="Normal"/>
    <w:autoRedefine/>
    <w:uiPriority w:val="39"/>
    <w:unhideWhenUsed/>
    <w:rsid w:val="006A09AB"/>
    <w:pPr>
      <w:spacing w:after="100"/>
    </w:pPr>
  </w:style>
  <w:style w:type="paragraph" w:styleId="TOC2">
    <w:name w:val="toc 2"/>
    <w:basedOn w:val="Normal"/>
    <w:next w:val="Normal"/>
    <w:autoRedefine/>
    <w:uiPriority w:val="39"/>
    <w:unhideWhenUsed/>
    <w:rsid w:val="006A09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130">
      <w:bodyDiv w:val="1"/>
      <w:marLeft w:val="0"/>
      <w:marRight w:val="0"/>
      <w:marTop w:val="0"/>
      <w:marBottom w:val="0"/>
      <w:divBdr>
        <w:top w:val="none" w:sz="0" w:space="0" w:color="auto"/>
        <w:left w:val="none" w:sz="0" w:space="0" w:color="auto"/>
        <w:bottom w:val="none" w:sz="0" w:space="0" w:color="auto"/>
        <w:right w:val="none" w:sz="0" w:space="0" w:color="auto"/>
      </w:divBdr>
    </w:div>
    <w:div w:id="362940788">
      <w:bodyDiv w:val="1"/>
      <w:marLeft w:val="0"/>
      <w:marRight w:val="0"/>
      <w:marTop w:val="0"/>
      <w:marBottom w:val="0"/>
      <w:divBdr>
        <w:top w:val="none" w:sz="0" w:space="0" w:color="auto"/>
        <w:left w:val="none" w:sz="0" w:space="0" w:color="auto"/>
        <w:bottom w:val="none" w:sz="0" w:space="0" w:color="auto"/>
        <w:right w:val="none" w:sz="0" w:space="0" w:color="auto"/>
      </w:divBdr>
      <w:divsChild>
        <w:div w:id="58136034">
          <w:marLeft w:val="0"/>
          <w:marRight w:val="0"/>
          <w:marTop w:val="0"/>
          <w:marBottom w:val="0"/>
          <w:divBdr>
            <w:top w:val="none" w:sz="0" w:space="0" w:color="auto"/>
            <w:left w:val="none" w:sz="0" w:space="0" w:color="auto"/>
            <w:bottom w:val="none" w:sz="0" w:space="0" w:color="auto"/>
            <w:right w:val="none" w:sz="0" w:space="0" w:color="auto"/>
          </w:divBdr>
          <w:divsChild>
            <w:div w:id="18265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835">
      <w:bodyDiv w:val="1"/>
      <w:marLeft w:val="0"/>
      <w:marRight w:val="0"/>
      <w:marTop w:val="0"/>
      <w:marBottom w:val="0"/>
      <w:divBdr>
        <w:top w:val="none" w:sz="0" w:space="0" w:color="auto"/>
        <w:left w:val="none" w:sz="0" w:space="0" w:color="auto"/>
        <w:bottom w:val="none" w:sz="0" w:space="0" w:color="auto"/>
        <w:right w:val="none" w:sz="0" w:space="0" w:color="auto"/>
      </w:divBdr>
      <w:divsChild>
        <w:div w:id="135418534">
          <w:marLeft w:val="202"/>
          <w:marRight w:val="0"/>
          <w:marTop w:val="113"/>
          <w:marBottom w:val="0"/>
          <w:divBdr>
            <w:top w:val="none" w:sz="0" w:space="0" w:color="auto"/>
            <w:left w:val="none" w:sz="0" w:space="0" w:color="auto"/>
            <w:bottom w:val="none" w:sz="0" w:space="0" w:color="auto"/>
            <w:right w:val="none" w:sz="0" w:space="0" w:color="auto"/>
          </w:divBdr>
        </w:div>
        <w:div w:id="1241525037">
          <w:marLeft w:val="202"/>
          <w:marRight w:val="0"/>
          <w:marTop w:val="113"/>
          <w:marBottom w:val="0"/>
          <w:divBdr>
            <w:top w:val="none" w:sz="0" w:space="0" w:color="auto"/>
            <w:left w:val="none" w:sz="0" w:space="0" w:color="auto"/>
            <w:bottom w:val="none" w:sz="0" w:space="0" w:color="auto"/>
            <w:right w:val="none" w:sz="0" w:space="0" w:color="auto"/>
          </w:divBdr>
        </w:div>
        <w:div w:id="1117408072">
          <w:marLeft w:val="202"/>
          <w:marRight w:val="0"/>
          <w:marTop w:val="113"/>
          <w:marBottom w:val="0"/>
          <w:divBdr>
            <w:top w:val="none" w:sz="0" w:space="0" w:color="auto"/>
            <w:left w:val="none" w:sz="0" w:space="0" w:color="auto"/>
            <w:bottom w:val="none" w:sz="0" w:space="0" w:color="auto"/>
            <w:right w:val="none" w:sz="0" w:space="0" w:color="auto"/>
          </w:divBdr>
        </w:div>
        <w:div w:id="1328823601">
          <w:marLeft w:val="202"/>
          <w:marRight w:val="0"/>
          <w:marTop w:val="113"/>
          <w:marBottom w:val="0"/>
          <w:divBdr>
            <w:top w:val="none" w:sz="0" w:space="0" w:color="auto"/>
            <w:left w:val="none" w:sz="0" w:space="0" w:color="auto"/>
            <w:bottom w:val="none" w:sz="0" w:space="0" w:color="auto"/>
            <w:right w:val="none" w:sz="0" w:space="0" w:color="auto"/>
          </w:divBdr>
        </w:div>
      </w:divsChild>
    </w:div>
    <w:div w:id="465662074">
      <w:bodyDiv w:val="1"/>
      <w:marLeft w:val="0"/>
      <w:marRight w:val="0"/>
      <w:marTop w:val="0"/>
      <w:marBottom w:val="0"/>
      <w:divBdr>
        <w:top w:val="none" w:sz="0" w:space="0" w:color="auto"/>
        <w:left w:val="none" w:sz="0" w:space="0" w:color="auto"/>
        <w:bottom w:val="none" w:sz="0" w:space="0" w:color="auto"/>
        <w:right w:val="none" w:sz="0" w:space="0" w:color="auto"/>
      </w:divBdr>
      <w:divsChild>
        <w:div w:id="1751385304">
          <w:marLeft w:val="202"/>
          <w:marRight w:val="0"/>
          <w:marTop w:val="113"/>
          <w:marBottom w:val="0"/>
          <w:divBdr>
            <w:top w:val="none" w:sz="0" w:space="0" w:color="auto"/>
            <w:left w:val="none" w:sz="0" w:space="0" w:color="auto"/>
            <w:bottom w:val="none" w:sz="0" w:space="0" w:color="auto"/>
            <w:right w:val="none" w:sz="0" w:space="0" w:color="auto"/>
          </w:divBdr>
        </w:div>
        <w:div w:id="633371658">
          <w:marLeft w:val="605"/>
          <w:marRight w:val="0"/>
          <w:marTop w:val="56"/>
          <w:marBottom w:val="0"/>
          <w:divBdr>
            <w:top w:val="none" w:sz="0" w:space="0" w:color="auto"/>
            <w:left w:val="none" w:sz="0" w:space="0" w:color="auto"/>
            <w:bottom w:val="none" w:sz="0" w:space="0" w:color="auto"/>
            <w:right w:val="none" w:sz="0" w:space="0" w:color="auto"/>
          </w:divBdr>
        </w:div>
        <w:div w:id="454256548">
          <w:marLeft w:val="605"/>
          <w:marRight w:val="0"/>
          <w:marTop w:val="56"/>
          <w:marBottom w:val="0"/>
          <w:divBdr>
            <w:top w:val="none" w:sz="0" w:space="0" w:color="auto"/>
            <w:left w:val="none" w:sz="0" w:space="0" w:color="auto"/>
            <w:bottom w:val="none" w:sz="0" w:space="0" w:color="auto"/>
            <w:right w:val="none" w:sz="0" w:space="0" w:color="auto"/>
          </w:divBdr>
        </w:div>
        <w:div w:id="1877618736">
          <w:marLeft w:val="605"/>
          <w:marRight w:val="0"/>
          <w:marTop w:val="56"/>
          <w:marBottom w:val="0"/>
          <w:divBdr>
            <w:top w:val="none" w:sz="0" w:space="0" w:color="auto"/>
            <w:left w:val="none" w:sz="0" w:space="0" w:color="auto"/>
            <w:bottom w:val="none" w:sz="0" w:space="0" w:color="auto"/>
            <w:right w:val="none" w:sz="0" w:space="0" w:color="auto"/>
          </w:divBdr>
        </w:div>
        <w:div w:id="845292357">
          <w:marLeft w:val="605"/>
          <w:marRight w:val="0"/>
          <w:marTop w:val="56"/>
          <w:marBottom w:val="0"/>
          <w:divBdr>
            <w:top w:val="none" w:sz="0" w:space="0" w:color="auto"/>
            <w:left w:val="none" w:sz="0" w:space="0" w:color="auto"/>
            <w:bottom w:val="none" w:sz="0" w:space="0" w:color="auto"/>
            <w:right w:val="none" w:sz="0" w:space="0" w:color="auto"/>
          </w:divBdr>
        </w:div>
      </w:divsChild>
    </w:div>
    <w:div w:id="466317637">
      <w:bodyDiv w:val="1"/>
      <w:marLeft w:val="0"/>
      <w:marRight w:val="0"/>
      <w:marTop w:val="0"/>
      <w:marBottom w:val="0"/>
      <w:divBdr>
        <w:top w:val="none" w:sz="0" w:space="0" w:color="auto"/>
        <w:left w:val="none" w:sz="0" w:space="0" w:color="auto"/>
        <w:bottom w:val="none" w:sz="0" w:space="0" w:color="auto"/>
        <w:right w:val="none" w:sz="0" w:space="0" w:color="auto"/>
      </w:divBdr>
    </w:div>
    <w:div w:id="578750997">
      <w:bodyDiv w:val="1"/>
      <w:marLeft w:val="0"/>
      <w:marRight w:val="0"/>
      <w:marTop w:val="0"/>
      <w:marBottom w:val="0"/>
      <w:divBdr>
        <w:top w:val="none" w:sz="0" w:space="0" w:color="auto"/>
        <w:left w:val="none" w:sz="0" w:space="0" w:color="auto"/>
        <w:bottom w:val="none" w:sz="0" w:space="0" w:color="auto"/>
        <w:right w:val="none" w:sz="0" w:space="0" w:color="auto"/>
      </w:divBdr>
    </w:div>
    <w:div w:id="651254405">
      <w:bodyDiv w:val="1"/>
      <w:marLeft w:val="0"/>
      <w:marRight w:val="0"/>
      <w:marTop w:val="0"/>
      <w:marBottom w:val="0"/>
      <w:divBdr>
        <w:top w:val="none" w:sz="0" w:space="0" w:color="auto"/>
        <w:left w:val="none" w:sz="0" w:space="0" w:color="auto"/>
        <w:bottom w:val="none" w:sz="0" w:space="0" w:color="auto"/>
        <w:right w:val="none" w:sz="0" w:space="0" w:color="auto"/>
      </w:divBdr>
    </w:div>
    <w:div w:id="740834373">
      <w:bodyDiv w:val="1"/>
      <w:marLeft w:val="0"/>
      <w:marRight w:val="0"/>
      <w:marTop w:val="0"/>
      <w:marBottom w:val="0"/>
      <w:divBdr>
        <w:top w:val="none" w:sz="0" w:space="0" w:color="auto"/>
        <w:left w:val="none" w:sz="0" w:space="0" w:color="auto"/>
        <w:bottom w:val="none" w:sz="0" w:space="0" w:color="auto"/>
        <w:right w:val="none" w:sz="0" w:space="0" w:color="auto"/>
      </w:divBdr>
    </w:div>
    <w:div w:id="758020452">
      <w:bodyDiv w:val="1"/>
      <w:marLeft w:val="0"/>
      <w:marRight w:val="0"/>
      <w:marTop w:val="0"/>
      <w:marBottom w:val="0"/>
      <w:divBdr>
        <w:top w:val="none" w:sz="0" w:space="0" w:color="auto"/>
        <w:left w:val="none" w:sz="0" w:space="0" w:color="auto"/>
        <w:bottom w:val="none" w:sz="0" w:space="0" w:color="auto"/>
        <w:right w:val="none" w:sz="0" w:space="0" w:color="auto"/>
      </w:divBdr>
    </w:div>
    <w:div w:id="820582209">
      <w:bodyDiv w:val="1"/>
      <w:marLeft w:val="0"/>
      <w:marRight w:val="0"/>
      <w:marTop w:val="0"/>
      <w:marBottom w:val="0"/>
      <w:divBdr>
        <w:top w:val="none" w:sz="0" w:space="0" w:color="auto"/>
        <w:left w:val="none" w:sz="0" w:space="0" w:color="auto"/>
        <w:bottom w:val="none" w:sz="0" w:space="0" w:color="auto"/>
        <w:right w:val="none" w:sz="0" w:space="0" w:color="auto"/>
      </w:divBdr>
    </w:div>
    <w:div w:id="839078013">
      <w:bodyDiv w:val="1"/>
      <w:marLeft w:val="0"/>
      <w:marRight w:val="0"/>
      <w:marTop w:val="0"/>
      <w:marBottom w:val="0"/>
      <w:divBdr>
        <w:top w:val="none" w:sz="0" w:space="0" w:color="auto"/>
        <w:left w:val="none" w:sz="0" w:space="0" w:color="auto"/>
        <w:bottom w:val="none" w:sz="0" w:space="0" w:color="auto"/>
        <w:right w:val="none" w:sz="0" w:space="0" w:color="auto"/>
      </w:divBdr>
      <w:divsChild>
        <w:div w:id="2019430862">
          <w:marLeft w:val="202"/>
          <w:marRight w:val="0"/>
          <w:marTop w:val="113"/>
          <w:marBottom w:val="0"/>
          <w:divBdr>
            <w:top w:val="none" w:sz="0" w:space="0" w:color="auto"/>
            <w:left w:val="none" w:sz="0" w:space="0" w:color="auto"/>
            <w:bottom w:val="none" w:sz="0" w:space="0" w:color="auto"/>
            <w:right w:val="none" w:sz="0" w:space="0" w:color="auto"/>
          </w:divBdr>
        </w:div>
        <w:div w:id="726343857">
          <w:marLeft w:val="202"/>
          <w:marRight w:val="0"/>
          <w:marTop w:val="113"/>
          <w:marBottom w:val="0"/>
          <w:divBdr>
            <w:top w:val="none" w:sz="0" w:space="0" w:color="auto"/>
            <w:left w:val="none" w:sz="0" w:space="0" w:color="auto"/>
            <w:bottom w:val="none" w:sz="0" w:space="0" w:color="auto"/>
            <w:right w:val="none" w:sz="0" w:space="0" w:color="auto"/>
          </w:divBdr>
        </w:div>
        <w:div w:id="468862974">
          <w:marLeft w:val="605"/>
          <w:marRight w:val="0"/>
          <w:marTop w:val="56"/>
          <w:marBottom w:val="0"/>
          <w:divBdr>
            <w:top w:val="none" w:sz="0" w:space="0" w:color="auto"/>
            <w:left w:val="none" w:sz="0" w:space="0" w:color="auto"/>
            <w:bottom w:val="none" w:sz="0" w:space="0" w:color="auto"/>
            <w:right w:val="none" w:sz="0" w:space="0" w:color="auto"/>
          </w:divBdr>
        </w:div>
        <w:div w:id="588200972">
          <w:marLeft w:val="202"/>
          <w:marRight w:val="0"/>
          <w:marTop w:val="113"/>
          <w:marBottom w:val="0"/>
          <w:divBdr>
            <w:top w:val="none" w:sz="0" w:space="0" w:color="auto"/>
            <w:left w:val="none" w:sz="0" w:space="0" w:color="auto"/>
            <w:bottom w:val="none" w:sz="0" w:space="0" w:color="auto"/>
            <w:right w:val="none" w:sz="0" w:space="0" w:color="auto"/>
          </w:divBdr>
        </w:div>
      </w:divsChild>
    </w:div>
    <w:div w:id="1142037905">
      <w:bodyDiv w:val="1"/>
      <w:marLeft w:val="0"/>
      <w:marRight w:val="0"/>
      <w:marTop w:val="0"/>
      <w:marBottom w:val="0"/>
      <w:divBdr>
        <w:top w:val="none" w:sz="0" w:space="0" w:color="auto"/>
        <w:left w:val="none" w:sz="0" w:space="0" w:color="auto"/>
        <w:bottom w:val="none" w:sz="0" w:space="0" w:color="auto"/>
        <w:right w:val="none" w:sz="0" w:space="0" w:color="auto"/>
      </w:divBdr>
    </w:div>
    <w:div w:id="1170481752">
      <w:bodyDiv w:val="1"/>
      <w:marLeft w:val="0"/>
      <w:marRight w:val="0"/>
      <w:marTop w:val="0"/>
      <w:marBottom w:val="0"/>
      <w:divBdr>
        <w:top w:val="none" w:sz="0" w:space="0" w:color="auto"/>
        <w:left w:val="none" w:sz="0" w:space="0" w:color="auto"/>
        <w:bottom w:val="none" w:sz="0" w:space="0" w:color="auto"/>
        <w:right w:val="none" w:sz="0" w:space="0" w:color="auto"/>
      </w:divBdr>
    </w:div>
    <w:div w:id="1183209074">
      <w:bodyDiv w:val="1"/>
      <w:marLeft w:val="0"/>
      <w:marRight w:val="0"/>
      <w:marTop w:val="0"/>
      <w:marBottom w:val="0"/>
      <w:divBdr>
        <w:top w:val="none" w:sz="0" w:space="0" w:color="auto"/>
        <w:left w:val="none" w:sz="0" w:space="0" w:color="auto"/>
        <w:bottom w:val="none" w:sz="0" w:space="0" w:color="auto"/>
        <w:right w:val="none" w:sz="0" w:space="0" w:color="auto"/>
      </w:divBdr>
      <w:divsChild>
        <w:div w:id="1586450462">
          <w:marLeft w:val="202"/>
          <w:marRight w:val="0"/>
          <w:marTop w:val="113"/>
          <w:marBottom w:val="0"/>
          <w:divBdr>
            <w:top w:val="none" w:sz="0" w:space="0" w:color="auto"/>
            <w:left w:val="none" w:sz="0" w:space="0" w:color="auto"/>
            <w:bottom w:val="none" w:sz="0" w:space="0" w:color="auto"/>
            <w:right w:val="none" w:sz="0" w:space="0" w:color="auto"/>
          </w:divBdr>
        </w:div>
        <w:div w:id="1062369927">
          <w:marLeft w:val="202"/>
          <w:marRight w:val="0"/>
          <w:marTop w:val="113"/>
          <w:marBottom w:val="0"/>
          <w:divBdr>
            <w:top w:val="none" w:sz="0" w:space="0" w:color="auto"/>
            <w:left w:val="none" w:sz="0" w:space="0" w:color="auto"/>
            <w:bottom w:val="none" w:sz="0" w:space="0" w:color="auto"/>
            <w:right w:val="none" w:sz="0" w:space="0" w:color="auto"/>
          </w:divBdr>
        </w:div>
      </w:divsChild>
    </w:div>
    <w:div w:id="1215891834">
      <w:bodyDiv w:val="1"/>
      <w:marLeft w:val="0"/>
      <w:marRight w:val="0"/>
      <w:marTop w:val="0"/>
      <w:marBottom w:val="0"/>
      <w:divBdr>
        <w:top w:val="none" w:sz="0" w:space="0" w:color="auto"/>
        <w:left w:val="none" w:sz="0" w:space="0" w:color="auto"/>
        <w:bottom w:val="none" w:sz="0" w:space="0" w:color="auto"/>
        <w:right w:val="none" w:sz="0" w:space="0" w:color="auto"/>
      </w:divBdr>
    </w:div>
    <w:div w:id="1226065833">
      <w:bodyDiv w:val="1"/>
      <w:marLeft w:val="0"/>
      <w:marRight w:val="0"/>
      <w:marTop w:val="0"/>
      <w:marBottom w:val="0"/>
      <w:divBdr>
        <w:top w:val="none" w:sz="0" w:space="0" w:color="auto"/>
        <w:left w:val="none" w:sz="0" w:space="0" w:color="auto"/>
        <w:bottom w:val="none" w:sz="0" w:space="0" w:color="auto"/>
        <w:right w:val="none" w:sz="0" w:space="0" w:color="auto"/>
      </w:divBdr>
      <w:divsChild>
        <w:div w:id="1499463843">
          <w:marLeft w:val="202"/>
          <w:marRight w:val="0"/>
          <w:marTop w:val="113"/>
          <w:marBottom w:val="0"/>
          <w:divBdr>
            <w:top w:val="none" w:sz="0" w:space="0" w:color="auto"/>
            <w:left w:val="none" w:sz="0" w:space="0" w:color="auto"/>
            <w:bottom w:val="none" w:sz="0" w:space="0" w:color="auto"/>
            <w:right w:val="none" w:sz="0" w:space="0" w:color="auto"/>
          </w:divBdr>
        </w:div>
        <w:div w:id="1350722327">
          <w:marLeft w:val="202"/>
          <w:marRight w:val="0"/>
          <w:marTop w:val="113"/>
          <w:marBottom w:val="0"/>
          <w:divBdr>
            <w:top w:val="none" w:sz="0" w:space="0" w:color="auto"/>
            <w:left w:val="none" w:sz="0" w:space="0" w:color="auto"/>
            <w:bottom w:val="none" w:sz="0" w:space="0" w:color="auto"/>
            <w:right w:val="none" w:sz="0" w:space="0" w:color="auto"/>
          </w:divBdr>
        </w:div>
        <w:div w:id="801575280">
          <w:marLeft w:val="202"/>
          <w:marRight w:val="0"/>
          <w:marTop w:val="113"/>
          <w:marBottom w:val="0"/>
          <w:divBdr>
            <w:top w:val="none" w:sz="0" w:space="0" w:color="auto"/>
            <w:left w:val="none" w:sz="0" w:space="0" w:color="auto"/>
            <w:bottom w:val="none" w:sz="0" w:space="0" w:color="auto"/>
            <w:right w:val="none" w:sz="0" w:space="0" w:color="auto"/>
          </w:divBdr>
        </w:div>
        <w:div w:id="576327493">
          <w:marLeft w:val="202"/>
          <w:marRight w:val="0"/>
          <w:marTop w:val="113"/>
          <w:marBottom w:val="0"/>
          <w:divBdr>
            <w:top w:val="none" w:sz="0" w:space="0" w:color="auto"/>
            <w:left w:val="none" w:sz="0" w:space="0" w:color="auto"/>
            <w:bottom w:val="none" w:sz="0" w:space="0" w:color="auto"/>
            <w:right w:val="none" w:sz="0" w:space="0" w:color="auto"/>
          </w:divBdr>
        </w:div>
      </w:divsChild>
    </w:div>
    <w:div w:id="1234512975">
      <w:bodyDiv w:val="1"/>
      <w:marLeft w:val="0"/>
      <w:marRight w:val="0"/>
      <w:marTop w:val="0"/>
      <w:marBottom w:val="0"/>
      <w:divBdr>
        <w:top w:val="none" w:sz="0" w:space="0" w:color="auto"/>
        <w:left w:val="none" w:sz="0" w:space="0" w:color="auto"/>
        <w:bottom w:val="none" w:sz="0" w:space="0" w:color="auto"/>
        <w:right w:val="none" w:sz="0" w:space="0" w:color="auto"/>
      </w:divBdr>
    </w:div>
    <w:div w:id="1405176290">
      <w:bodyDiv w:val="1"/>
      <w:marLeft w:val="0"/>
      <w:marRight w:val="0"/>
      <w:marTop w:val="0"/>
      <w:marBottom w:val="0"/>
      <w:divBdr>
        <w:top w:val="none" w:sz="0" w:space="0" w:color="auto"/>
        <w:left w:val="none" w:sz="0" w:space="0" w:color="auto"/>
        <w:bottom w:val="none" w:sz="0" w:space="0" w:color="auto"/>
        <w:right w:val="none" w:sz="0" w:space="0" w:color="auto"/>
      </w:divBdr>
    </w:div>
    <w:div w:id="1527254591">
      <w:bodyDiv w:val="1"/>
      <w:marLeft w:val="0"/>
      <w:marRight w:val="0"/>
      <w:marTop w:val="0"/>
      <w:marBottom w:val="0"/>
      <w:divBdr>
        <w:top w:val="none" w:sz="0" w:space="0" w:color="auto"/>
        <w:left w:val="none" w:sz="0" w:space="0" w:color="auto"/>
        <w:bottom w:val="none" w:sz="0" w:space="0" w:color="auto"/>
        <w:right w:val="none" w:sz="0" w:space="0" w:color="auto"/>
      </w:divBdr>
    </w:div>
    <w:div w:id="1623077991">
      <w:bodyDiv w:val="1"/>
      <w:marLeft w:val="0"/>
      <w:marRight w:val="0"/>
      <w:marTop w:val="0"/>
      <w:marBottom w:val="0"/>
      <w:divBdr>
        <w:top w:val="none" w:sz="0" w:space="0" w:color="auto"/>
        <w:left w:val="none" w:sz="0" w:space="0" w:color="auto"/>
        <w:bottom w:val="none" w:sz="0" w:space="0" w:color="auto"/>
        <w:right w:val="none" w:sz="0" w:space="0" w:color="auto"/>
      </w:divBdr>
    </w:div>
    <w:div w:id="1716002292">
      <w:bodyDiv w:val="1"/>
      <w:marLeft w:val="0"/>
      <w:marRight w:val="0"/>
      <w:marTop w:val="0"/>
      <w:marBottom w:val="0"/>
      <w:divBdr>
        <w:top w:val="none" w:sz="0" w:space="0" w:color="auto"/>
        <w:left w:val="none" w:sz="0" w:space="0" w:color="auto"/>
        <w:bottom w:val="none" w:sz="0" w:space="0" w:color="auto"/>
        <w:right w:val="none" w:sz="0" w:space="0" w:color="auto"/>
      </w:divBdr>
      <w:divsChild>
        <w:div w:id="1274938536">
          <w:marLeft w:val="202"/>
          <w:marRight w:val="0"/>
          <w:marTop w:val="113"/>
          <w:marBottom w:val="0"/>
          <w:divBdr>
            <w:top w:val="none" w:sz="0" w:space="0" w:color="auto"/>
            <w:left w:val="none" w:sz="0" w:space="0" w:color="auto"/>
            <w:bottom w:val="none" w:sz="0" w:space="0" w:color="auto"/>
            <w:right w:val="none" w:sz="0" w:space="0" w:color="auto"/>
          </w:divBdr>
        </w:div>
        <w:div w:id="474643514">
          <w:marLeft w:val="202"/>
          <w:marRight w:val="0"/>
          <w:marTop w:val="113"/>
          <w:marBottom w:val="0"/>
          <w:divBdr>
            <w:top w:val="none" w:sz="0" w:space="0" w:color="auto"/>
            <w:left w:val="none" w:sz="0" w:space="0" w:color="auto"/>
            <w:bottom w:val="none" w:sz="0" w:space="0" w:color="auto"/>
            <w:right w:val="none" w:sz="0" w:space="0" w:color="auto"/>
          </w:divBdr>
        </w:div>
        <w:div w:id="772818698">
          <w:marLeft w:val="202"/>
          <w:marRight w:val="0"/>
          <w:marTop w:val="113"/>
          <w:marBottom w:val="0"/>
          <w:divBdr>
            <w:top w:val="none" w:sz="0" w:space="0" w:color="auto"/>
            <w:left w:val="none" w:sz="0" w:space="0" w:color="auto"/>
            <w:bottom w:val="none" w:sz="0" w:space="0" w:color="auto"/>
            <w:right w:val="none" w:sz="0" w:space="0" w:color="auto"/>
          </w:divBdr>
        </w:div>
      </w:divsChild>
    </w:div>
    <w:div w:id="1969313477">
      <w:bodyDiv w:val="1"/>
      <w:marLeft w:val="0"/>
      <w:marRight w:val="0"/>
      <w:marTop w:val="0"/>
      <w:marBottom w:val="0"/>
      <w:divBdr>
        <w:top w:val="none" w:sz="0" w:space="0" w:color="auto"/>
        <w:left w:val="none" w:sz="0" w:space="0" w:color="auto"/>
        <w:bottom w:val="none" w:sz="0" w:space="0" w:color="auto"/>
        <w:right w:val="none" w:sz="0" w:space="0" w:color="auto"/>
      </w:divBdr>
    </w:div>
    <w:div w:id="2058161476">
      <w:bodyDiv w:val="1"/>
      <w:marLeft w:val="0"/>
      <w:marRight w:val="0"/>
      <w:marTop w:val="0"/>
      <w:marBottom w:val="0"/>
      <w:divBdr>
        <w:top w:val="none" w:sz="0" w:space="0" w:color="auto"/>
        <w:left w:val="none" w:sz="0" w:space="0" w:color="auto"/>
        <w:bottom w:val="none" w:sz="0" w:space="0" w:color="auto"/>
        <w:right w:val="none" w:sz="0" w:space="0" w:color="auto"/>
      </w:divBdr>
      <w:divsChild>
        <w:div w:id="388262553">
          <w:marLeft w:val="202"/>
          <w:marRight w:val="0"/>
          <w:marTop w:val="113"/>
          <w:marBottom w:val="0"/>
          <w:divBdr>
            <w:top w:val="none" w:sz="0" w:space="0" w:color="auto"/>
            <w:left w:val="none" w:sz="0" w:space="0" w:color="auto"/>
            <w:bottom w:val="none" w:sz="0" w:space="0" w:color="auto"/>
            <w:right w:val="none" w:sz="0" w:space="0" w:color="auto"/>
          </w:divBdr>
        </w:div>
        <w:div w:id="465657955">
          <w:marLeft w:val="202"/>
          <w:marRight w:val="0"/>
          <w:marTop w:val="113"/>
          <w:marBottom w:val="0"/>
          <w:divBdr>
            <w:top w:val="none" w:sz="0" w:space="0" w:color="auto"/>
            <w:left w:val="none" w:sz="0" w:space="0" w:color="auto"/>
            <w:bottom w:val="none" w:sz="0" w:space="0" w:color="auto"/>
            <w:right w:val="none" w:sz="0" w:space="0" w:color="auto"/>
          </w:divBdr>
        </w:div>
        <w:div w:id="2092309495">
          <w:marLeft w:val="605"/>
          <w:marRight w:val="0"/>
          <w:marTop w:val="56"/>
          <w:marBottom w:val="0"/>
          <w:divBdr>
            <w:top w:val="none" w:sz="0" w:space="0" w:color="auto"/>
            <w:left w:val="none" w:sz="0" w:space="0" w:color="auto"/>
            <w:bottom w:val="none" w:sz="0" w:space="0" w:color="auto"/>
            <w:right w:val="none" w:sz="0" w:space="0" w:color="auto"/>
          </w:divBdr>
        </w:div>
        <w:div w:id="1956250938">
          <w:marLeft w:val="605"/>
          <w:marRight w:val="0"/>
          <w:marTop w:val="56"/>
          <w:marBottom w:val="0"/>
          <w:divBdr>
            <w:top w:val="none" w:sz="0" w:space="0" w:color="auto"/>
            <w:left w:val="none" w:sz="0" w:space="0" w:color="auto"/>
            <w:bottom w:val="none" w:sz="0" w:space="0" w:color="auto"/>
            <w:right w:val="none" w:sz="0" w:space="0" w:color="auto"/>
          </w:divBdr>
        </w:div>
      </w:divsChild>
    </w:div>
    <w:div w:id="2065639071">
      <w:bodyDiv w:val="1"/>
      <w:marLeft w:val="0"/>
      <w:marRight w:val="0"/>
      <w:marTop w:val="0"/>
      <w:marBottom w:val="0"/>
      <w:divBdr>
        <w:top w:val="none" w:sz="0" w:space="0" w:color="auto"/>
        <w:left w:val="none" w:sz="0" w:space="0" w:color="auto"/>
        <w:bottom w:val="none" w:sz="0" w:space="0" w:color="auto"/>
        <w:right w:val="none" w:sz="0" w:space="0" w:color="auto"/>
      </w:divBdr>
    </w:div>
    <w:div w:id="21319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371/journal.pmed.10034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jstor.org/stable/2072117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wn.com/news/1597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D4EA-0DFA-42A9-84CB-923FA4AD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Cost-effectiveness of Trans Fat elimination policies in Pakistan</vt:lpstr>
    </vt:vector>
  </TitlesOfParts>
  <Company>HP</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Cost-effectiveness of Trans Fat elimination policies in Pakistan</dc:title>
  <dc:subject>Ammar Rashid</dc:subject>
  <dc:creator>Ammar Rashid</dc:creator>
  <cp:keywords/>
  <dc:description/>
  <cp:lastModifiedBy>Ihtiram Ul Haque Khattak</cp:lastModifiedBy>
  <cp:revision>31</cp:revision>
  <dcterms:created xsi:type="dcterms:W3CDTF">2023-05-03T07:56:00Z</dcterms:created>
  <dcterms:modified xsi:type="dcterms:W3CDTF">2023-05-03T10:42:00Z</dcterms:modified>
</cp:coreProperties>
</file>